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D" w:rsidRPr="00C56FCC" w:rsidRDefault="008E08BD" w:rsidP="008E08BD">
      <w:pPr>
        <w:spacing w:after="0" w:line="240" w:lineRule="auto"/>
        <w:jc w:val="center"/>
        <w:rPr>
          <w:rFonts w:ascii="Times New Roman" w:hAnsi="Times New Roman"/>
          <w:b/>
        </w:rPr>
      </w:pPr>
      <w:r w:rsidRPr="00C56FCC">
        <w:rPr>
          <w:rFonts w:ascii="Times New Roman" w:hAnsi="Times New Roman"/>
          <w:b/>
        </w:rPr>
        <w:t xml:space="preserve">Сравнительная таблица </w:t>
      </w:r>
    </w:p>
    <w:p w:rsidR="008E08BD" w:rsidRPr="00C56FCC" w:rsidRDefault="008E08BD" w:rsidP="008E08B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lang w:eastAsia="ru-RU"/>
        </w:rPr>
      </w:pPr>
      <w:r w:rsidRPr="00C56FCC">
        <w:rPr>
          <w:rFonts w:ascii="Times New Roman" w:hAnsi="Times New Roman"/>
          <w:b/>
        </w:rPr>
        <w:t xml:space="preserve">к проекту Закона Республики Казахстан </w:t>
      </w:r>
      <w:r w:rsidRPr="00C56FCC">
        <w:rPr>
          <w:rFonts w:ascii="Times New Roman" w:eastAsia="Times New Roman" w:hAnsi="Times New Roman"/>
          <w:b/>
          <w:lang w:eastAsia="ru-RU"/>
        </w:rPr>
        <w:t>«О внесении изменений и дополнений в некоторые законодательные акты Республики Казахстан по вопросам</w:t>
      </w:r>
      <w:r w:rsidRPr="00C56FCC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осуществления адвокатской деятельности</w:t>
      </w:r>
      <w:r w:rsidRPr="00C56FCC">
        <w:rPr>
          <w:rFonts w:ascii="Times New Roman" w:eastAsia="Times New Roman" w:hAnsi="Times New Roman"/>
          <w:b/>
          <w:lang w:eastAsia="ru-RU"/>
        </w:rPr>
        <w:t>»</w:t>
      </w:r>
      <w:r w:rsidRPr="00C56FCC">
        <w:rPr>
          <w:rFonts w:ascii="Times New Roman" w:eastAsia="Times New Roman" w:hAnsi="Times New Roman"/>
          <w:lang w:eastAsia="ru-RU"/>
        </w:rPr>
        <w:t xml:space="preserve"> </w:t>
      </w:r>
    </w:p>
    <w:p w:rsidR="008E08BD" w:rsidRPr="00C56FCC" w:rsidRDefault="008E08BD" w:rsidP="008E08BD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C56FCC">
        <w:rPr>
          <w:rFonts w:ascii="Times New Roman" w:eastAsia="Times New Roman" w:hAnsi="Times New Roman"/>
          <w:lang w:eastAsia="ru-RU"/>
        </w:rPr>
        <w:t xml:space="preserve"> </w:t>
      </w:r>
      <w:r w:rsidRPr="00C56FCC">
        <w:rPr>
          <w:rFonts w:ascii="Times New Roman" w:hAnsi="Times New Roman"/>
          <w:b/>
        </w:rPr>
        <w:t xml:space="preserve"> 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2"/>
        <w:gridCol w:w="4530"/>
        <w:gridCol w:w="4536"/>
        <w:gridCol w:w="4820"/>
      </w:tblGrid>
      <w:tr w:rsidR="00C56FCC" w:rsidRPr="00C56FCC" w:rsidTr="00C56FCC">
        <w:tc>
          <w:tcPr>
            <w:tcW w:w="562" w:type="dxa"/>
            <w:vAlign w:val="center"/>
          </w:tcPr>
          <w:p w:rsidR="008E08BD" w:rsidRPr="00C56FCC" w:rsidRDefault="008E08BD" w:rsidP="008F7297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282" w:type="dxa"/>
            <w:vAlign w:val="center"/>
          </w:tcPr>
          <w:p w:rsidR="008E08BD" w:rsidRPr="00C56FCC" w:rsidRDefault="008E08BD" w:rsidP="008F7297">
            <w:pPr>
              <w:spacing w:after="0" w:line="240" w:lineRule="auto"/>
              <w:ind w:left="-112" w:right="-96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Структурный элемент</w:t>
            </w:r>
          </w:p>
        </w:tc>
        <w:tc>
          <w:tcPr>
            <w:tcW w:w="4530" w:type="dxa"/>
            <w:vAlign w:val="center"/>
          </w:tcPr>
          <w:p w:rsidR="008E08BD" w:rsidRPr="00C56FCC" w:rsidRDefault="00520A3D" w:rsidP="006E5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Действующая р</w:t>
            </w:r>
            <w:r w:rsidR="008E08BD" w:rsidRPr="00C56FCC">
              <w:rPr>
                <w:rFonts w:ascii="Times New Roman" w:hAnsi="Times New Roman"/>
                <w:b/>
              </w:rPr>
              <w:t>едакция</w:t>
            </w:r>
          </w:p>
        </w:tc>
        <w:tc>
          <w:tcPr>
            <w:tcW w:w="4536" w:type="dxa"/>
            <w:vAlign w:val="center"/>
          </w:tcPr>
          <w:p w:rsidR="008E08BD" w:rsidRPr="00C56FCC" w:rsidRDefault="008E08BD" w:rsidP="006E5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Предлагаемая редакция</w:t>
            </w:r>
          </w:p>
        </w:tc>
        <w:tc>
          <w:tcPr>
            <w:tcW w:w="4820" w:type="dxa"/>
          </w:tcPr>
          <w:p w:rsidR="008E08BD" w:rsidRPr="00C56FCC" w:rsidRDefault="008E08BD" w:rsidP="006E5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E08BD" w:rsidRPr="00C56FCC" w:rsidRDefault="008E08BD" w:rsidP="006E5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Обоснование</w:t>
            </w:r>
          </w:p>
          <w:p w:rsidR="008E08BD" w:rsidRPr="00C56FCC" w:rsidRDefault="008E08BD" w:rsidP="006E5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6FCC" w:rsidRPr="00C56FCC" w:rsidTr="00C56FCC">
        <w:tc>
          <w:tcPr>
            <w:tcW w:w="562" w:type="dxa"/>
          </w:tcPr>
          <w:p w:rsidR="008E08BD" w:rsidRPr="00C56FCC" w:rsidRDefault="0034450F" w:rsidP="001E6EE8">
            <w:pPr>
              <w:tabs>
                <w:tab w:val="left" w:pos="315"/>
              </w:tabs>
              <w:spacing w:after="0" w:line="240" w:lineRule="auto"/>
              <w:ind w:left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82" w:type="dxa"/>
          </w:tcPr>
          <w:p w:rsidR="008E08BD" w:rsidRPr="00C56FCC" w:rsidRDefault="008E08BD" w:rsidP="001E6E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C56F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530" w:type="dxa"/>
          </w:tcPr>
          <w:p w:rsidR="008E08BD" w:rsidRPr="00C56FCC" w:rsidRDefault="008E08BD" w:rsidP="001E6E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6FC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536" w:type="dxa"/>
          </w:tcPr>
          <w:p w:rsidR="008E08BD" w:rsidRPr="00C56FCC" w:rsidRDefault="008E08BD" w:rsidP="001E6E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8E08BD" w:rsidRPr="00C56FCC" w:rsidRDefault="008E08BD" w:rsidP="001E6EE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C56FCC">
              <w:rPr>
                <w:rFonts w:ascii="Times New Roman" w:hAnsi="Times New Roman"/>
                <w:b/>
              </w:rPr>
              <w:t>5</w:t>
            </w:r>
          </w:p>
        </w:tc>
      </w:tr>
      <w:tr w:rsidR="00C56FCC" w:rsidRPr="00C56FCC" w:rsidTr="00C56FCC">
        <w:tc>
          <w:tcPr>
            <w:tcW w:w="15730" w:type="dxa"/>
            <w:gridSpan w:val="5"/>
          </w:tcPr>
          <w:p w:rsidR="00E77CD6" w:rsidRPr="00C56FCC" w:rsidRDefault="00E77CD6" w:rsidP="00E77C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7CD6" w:rsidRPr="00C56FCC" w:rsidRDefault="00E77CD6" w:rsidP="00E77C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  <w:b/>
              </w:rPr>
              <w:t>В Кодекс Республики Казахстан от 25 декабря 2017 года «О налогах и других обязательных платежах в</w:t>
            </w:r>
            <w:r w:rsidRPr="00C56FCC">
              <w:rPr>
                <w:rFonts w:ascii="Times New Roman" w:hAnsi="Times New Roman"/>
                <w:b/>
                <w:lang w:val="kk-KZ"/>
              </w:rPr>
              <w:t xml:space="preserve"> бюджет» </w:t>
            </w:r>
            <w:r w:rsidRPr="00C56FCC">
              <w:rPr>
                <w:rFonts w:ascii="Times New Roman" w:hAnsi="Times New Roman"/>
                <w:b/>
              </w:rPr>
              <w:t>(Налоговый</w:t>
            </w:r>
            <w:r w:rsidRPr="00C56FCC">
              <w:rPr>
                <w:rFonts w:ascii="Times New Roman" w:hAnsi="Times New Roman"/>
                <w:b/>
                <w:lang w:val="kk-KZ"/>
              </w:rPr>
              <w:t xml:space="preserve"> кодекс)</w:t>
            </w:r>
          </w:p>
        </w:tc>
      </w:tr>
      <w:tr w:rsidR="00C56FCC" w:rsidRPr="00C56FCC" w:rsidTr="00C56FCC">
        <w:tc>
          <w:tcPr>
            <w:tcW w:w="562" w:type="dxa"/>
          </w:tcPr>
          <w:p w:rsidR="00E77CD6" w:rsidRPr="00C56FCC" w:rsidRDefault="00E77CD6" w:rsidP="00E77CD6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E77CD6" w:rsidRPr="00C56FCC" w:rsidRDefault="005830BD" w:rsidP="00E77C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1 статьи 289</w:t>
            </w:r>
          </w:p>
        </w:tc>
        <w:tc>
          <w:tcPr>
            <w:tcW w:w="4530" w:type="dxa"/>
          </w:tcPr>
          <w:p w:rsidR="00E77CD6" w:rsidRPr="00C56FCC" w:rsidRDefault="00E77CD6" w:rsidP="00E77CD6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289. Налогообложение некоммерческих организаций</w:t>
            </w:r>
          </w:p>
          <w:p w:rsidR="00E77CD6" w:rsidRPr="00C56FCC" w:rsidRDefault="00E77CD6" w:rsidP="00E77CD6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 Для целей настоящего Кодекса некоммерческой организацией признается организация, зарегистрированная в форме, установленной гражданским законодательством Республики Казахстан для некоммерческой организации, за исключением акционерных обществ, учреждений и потребительских кооперативов, кроме кооперативов собственников квартир (помещений), которая осуществляет деятельность в общественных интересах и соответствует следующим условиям:</w:t>
            </w:r>
          </w:p>
          <w:p w:rsidR="00E77CD6" w:rsidRPr="00C56FCC" w:rsidRDefault="00E77CD6" w:rsidP="00E77CD6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1) не имеет цели извлечения дохода в качестве такового;</w:t>
            </w:r>
          </w:p>
          <w:p w:rsidR="00E77CD6" w:rsidRPr="00C56FCC" w:rsidRDefault="00E77CD6" w:rsidP="00E77CD6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2) не распределяет полученный чистый доход или имущество между участниками.</w:t>
            </w:r>
          </w:p>
          <w:p w:rsidR="00475E35" w:rsidRPr="00C56FCC" w:rsidRDefault="00475E35" w:rsidP="00E77CD6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</w:tc>
        <w:tc>
          <w:tcPr>
            <w:tcW w:w="4536" w:type="dxa"/>
          </w:tcPr>
          <w:p w:rsidR="00475E35" w:rsidRPr="00C56FCC" w:rsidRDefault="00475E35" w:rsidP="00475E35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289. Налогообложение некоммерческих организаций</w:t>
            </w:r>
          </w:p>
          <w:p w:rsidR="00475E35" w:rsidRPr="00C56FCC" w:rsidRDefault="00475E35" w:rsidP="00475E35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1. Для целей настоящего Кодекса некоммерческой организацией признается организация, зарегистрированная в форме, установленной гражданским законодательством Республики Казахстан для некоммерческой организации, за исключением акционерных обществ, учреждений и потребительских кооперативов, кроме кооперативов собственников квартир (помещений), которая осуществляет деятельность </w:t>
            </w:r>
            <w:r w:rsidRPr="00C56FCC">
              <w:rPr>
                <w:rFonts w:ascii="Times New Roman" w:hAnsi="Times New Roman"/>
                <w:bCs/>
                <w:i/>
                <w:color w:val="000000"/>
                <w:shd w:val="clear" w:color="auto" w:fill="FFFFFF"/>
              </w:rPr>
              <w:t>в общественных интересах</w:t>
            </w:r>
            <w:r w:rsidR="00CD6665"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 соответствует следующим условиям:</w:t>
            </w:r>
          </w:p>
          <w:p w:rsidR="00475E35" w:rsidRPr="00C56FCC" w:rsidRDefault="00475E35" w:rsidP="00475E35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1) не имеет цели извлечения дохода в качестве такового;</w:t>
            </w:r>
          </w:p>
          <w:p w:rsidR="00E77CD6" w:rsidRPr="00C56FCC" w:rsidRDefault="00475E35" w:rsidP="00475E3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2) не распределяет полученный чистый доход или имущество между участниками.</w:t>
            </w:r>
          </w:p>
          <w:p w:rsidR="00C66E4E" w:rsidRPr="00C56FCC" w:rsidRDefault="00C66E4E" w:rsidP="00475E3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Для целей настоящего </w:t>
            </w:r>
            <w:r w:rsidR="003B4993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одекса </w:t>
            </w:r>
            <w:r w:rsidR="003B4993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 некоммерческим организациям также относятся </w:t>
            </w:r>
            <w:r w:rsidR="00D30ECB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адвокатские конторы</w:t>
            </w:r>
            <w:r w:rsidR="003B4993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:rsidR="00475E35" w:rsidRPr="00C56FCC" w:rsidRDefault="00475E35" w:rsidP="00475E3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</w:tc>
        <w:tc>
          <w:tcPr>
            <w:tcW w:w="4820" w:type="dxa"/>
          </w:tcPr>
          <w:p w:rsidR="00D30ECB" w:rsidRPr="00C56FCC" w:rsidRDefault="002642DA" w:rsidP="00D30ECB">
            <w:pPr>
              <w:spacing w:after="0" w:line="240" w:lineRule="auto"/>
              <w:ind w:firstLine="36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В соответствии с пунктом 2 статьи 17 Закона РК «О некоммерческих организациях», пункт</w:t>
            </w:r>
            <w:r w:rsidR="00D30ECB" w:rsidRPr="00C56FCC">
              <w:rPr>
                <w:rFonts w:ascii="Times New Roman" w:hAnsi="Times New Roman"/>
              </w:rPr>
              <w:t>ами</w:t>
            </w:r>
            <w:r w:rsidRPr="00C56FCC">
              <w:rPr>
                <w:rFonts w:ascii="Times New Roman" w:hAnsi="Times New Roman"/>
              </w:rPr>
              <w:t xml:space="preserve"> 1 </w:t>
            </w:r>
            <w:r w:rsidR="00D30ECB" w:rsidRPr="00C56FCC">
              <w:rPr>
                <w:rFonts w:ascii="Times New Roman" w:hAnsi="Times New Roman"/>
              </w:rPr>
              <w:t xml:space="preserve">– 3 </w:t>
            </w:r>
            <w:r w:rsidRPr="00C56FCC">
              <w:rPr>
                <w:rFonts w:ascii="Times New Roman" w:hAnsi="Times New Roman"/>
              </w:rPr>
              <w:t>статьи 63</w:t>
            </w:r>
            <w:r w:rsidR="00D30ECB" w:rsidRPr="00C56FCC">
              <w:rPr>
                <w:rFonts w:ascii="Times New Roman" w:hAnsi="Times New Roman"/>
              </w:rPr>
              <w:t xml:space="preserve"> </w:t>
            </w:r>
            <w:r w:rsidRPr="00C56FCC">
              <w:rPr>
                <w:rFonts w:ascii="Times New Roman" w:hAnsi="Times New Roman"/>
              </w:rPr>
              <w:t xml:space="preserve">Закона РК «Об </w:t>
            </w:r>
            <w:r w:rsidR="00EF6021" w:rsidRPr="00C56FCC">
              <w:rPr>
                <w:rFonts w:ascii="Times New Roman" w:hAnsi="Times New Roman"/>
              </w:rPr>
              <w:t>адвокатской деятельности и юридической помощи» адвокатские конторы</w:t>
            </w:r>
            <w:r w:rsidR="00D30ECB" w:rsidRPr="00C56FCC">
              <w:rPr>
                <w:rFonts w:ascii="Times New Roman" w:hAnsi="Times New Roman"/>
              </w:rPr>
              <w:t xml:space="preserve"> </w:t>
            </w:r>
            <w:r w:rsidR="00EF6021" w:rsidRPr="00C56FCC">
              <w:rPr>
                <w:rFonts w:ascii="Times New Roman" w:hAnsi="Times New Roman"/>
              </w:rPr>
              <w:t>являются некоммерческими организациями</w:t>
            </w:r>
            <w:r w:rsidR="00D30ECB" w:rsidRPr="00C56FCC">
              <w:rPr>
                <w:rFonts w:ascii="Times New Roman" w:hAnsi="Times New Roman"/>
              </w:rPr>
              <w:t>, создаваемыми адвокатами</w:t>
            </w:r>
            <w:r w:rsidR="00D30ECB" w:rsidRPr="00C56FCC">
              <w:t xml:space="preserve"> </w:t>
            </w:r>
            <w:r w:rsidR="00D30ECB" w:rsidRPr="00C56FCC">
              <w:rPr>
                <w:rFonts w:ascii="Times New Roman" w:hAnsi="Times New Roman"/>
              </w:rPr>
              <w:t xml:space="preserve">в целях обеспечения </w:t>
            </w:r>
            <w:r w:rsidR="0066565E" w:rsidRPr="00C56FCC">
              <w:rPr>
                <w:rFonts w:ascii="Times New Roman" w:hAnsi="Times New Roman"/>
              </w:rPr>
              <w:t xml:space="preserve">их </w:t>
            </w:r>
            <w:r w:rsidR="00D30ECB" w:rsidRPr="00C56FCC">
              <w:rPr>
                <w:rFonts w:ascii="Times New Roman" w:hAnsi="Times New Roman"/>
              </w:rPr>
              <w:t>материальных, организационно-правовых и иных условий оказания адвокатами юридической помощи</w:t>
            </w:r>
            <w:r w:rsidR="00EF6021" w:rsidRPr="00C56FCC">
              <w:rPr>
                <w:rFonts w:ascii="Times New Roman" w:hAnsi="Times New Roman"/>
              </w:rPr>
              <w:t xml:space="preserve">. Согласно пункту 3 статьи 31, пункту 11 статьи 33 Закона РК «Об адвокатской деятельности и юридической помощи» адвокату запрещается заниматься предпринимательской деятельностью, а юридическая помощь, оказываемая адвокатами в рамках осуществления ими адвокатской деятельности, не является предпринимательской. </w:t>
            </w:r>
            <w:r w:rsidR="002A2243" w:rsidRPr="00C56FCC">
              <w:rPr>
                <w:rFonts w:ascii="Times New Roman" w:hAnsi="Times New Roman"/>
              </w:rPr>
              <w:t xml:space="preserve">Таким образом, для целей налогообложения есть все основания считать адвокатские конторы некоммерческими организациями. </w:t>
            </w:r>
          </w:p>
          <w:p w:rsidR="00AB0B5E" w:rsidRPr="00C56FCC" w:rsidRDefault="00AB0B5E" w:rsidP="00D30ECB">
            <w:pPr>
              <w:spacing w:after="0" w:line="240" w:lineRule="auto"/>
              <w:ind w:firstLine="36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 xml:space="preserve">Поскольку в части первой предлагаемой редакции пункта 1 статьи 289 НК РК есть указание на </w:t>
            </w:r>
            <w:r w:rsidRPr="00C56FCC">
              <w:rPr>
                <w:rFonts w:ascii="Times New Roman" w:hAnsi="Times New Roman"/>
                <w:i/>
              </w:rPr>
              <w:t>«деятельность в общественных интересах»</w:t>
            </w:r>
            <w:r w:rsidRPr="00C56FCC">
              <w:rPr>
                <w:rFonts w:ascii="Times New Roman" w:hAnsi="Times New Roman"/>
              </w:rPr>
              <w:t xml:space="preserve">, </w:t>
            </w:r>
            <w:r w:rsidR="007E5C6D" w:rsidRPr="00C56FCC">
              <w:rPr>
                <w:rFonts w:ascii="Times New Roman" w:hAnsi="Times New Roman"/>
              </w:rPr>
              <w:t>что</w:t>
            </w:r>
            <w:r w:rsidR="00D30ECB" w:rsidRPr="00C56FCC">
              <w:rPr>
                <w:rFonts w:ascii="Times New Roman" w:hAnsi="Times New Roman"/>
              </w:rPr>
              <w:t xml:space="preserve"> не совсем соответствует целям создания адвокатской конторы (целью создания адвокатской конторы является создание условий адвокатам для оказания ими юридической помощи)</w:t>
            </w:r>
            <w:r w:rsidR="007E5C6D" w:rsidRPr="00C56FCC">
              <w:rPr>
                <w:rFonts w:ascii="Times New Roman" w:hAnsi="Times New Roman"/>
              </w:rPr>
              <w:t xml:space="preserve">, то </w:t>
            </w:r>
            <w:r w:rsidR="00D30ECB" w:rsidRPr="00C56FCC">
              <w:rPr>
                <w:rFonts w:ascii="Times New Roman" w:hAnsi="Times New Roman"/>
              </w:rPr>
              <w:t xml:space="preserve">вносится предложение для целей НК РК </w:t>
            </w:r>
            <w:r w:rsidR="0066565E" w:rsidRPr="00C56FCC">
              <w:rPr>
                <w:rFonts w:ascii="Times New Roman" w:hAnsi="Times New Roman"/>
              </w:rPr>
              <w:t xml:space="preserve">отдельно </w:t>
            </w:r>
            <w:r w:rsidR="00D30ECB" w:rsidRPr="00C56FCC">
              <w:rPr>
                <w:rFonts w:ascii="Times New Roman" w:hAnsi="Times New Roman"/>
              </w:rPr>
              <w:t xml:space="preserve">отнести адвокатские конторы </w:t>
            </w:r>
            <w:r w:rsidR="0066565E" w:rsidRPr="00C56FCC">
              <w:rPr>
                <w:rFonts w:ascii="Times New Roman" w:hAnsi="Times New Roman"/>
              </w:rPr>
              <w:lastRenderedPageBreak/>
              <w:t xml:space="preserve">также </w:t>
            </w:r>
            <w:r w:rsidR="00D30ECB" w:rsidRPr="00C56FCC">
              <w:rPr>
                <w:rFonts w:ascii="Times New Roman" w:hAnsi="Times New Roman"/>
              </w:rPr>
              <w:t>к некоммерческим организациям</w:t>
            </w:r>
            <w:r w:rsidR="007E5C6D" w:rsidRPr="00C56FCC">
              <w:rPr>
                <w:rFonts w:ascii="Times New Roman" w:hAnsi="Times New Roman"/>
              </w:rPr>
              <w:t>.</w:t>
            </w:r>
          </w:p>
        </w:tc>
      </w:tr>
      <w:tr w:rsidR="00C56FCC" w:rsidRPr="00C56FCC" w:rsidTr="00C56FCC">
        <w:tc>
          <w:tcPr>
            <w:tcW w:w="562" w:type="dxa"/>
          </w:tcPr>
          <w:p w:rsidR="007E5C6D" w:rsidRPr="00C56FCC" w:rsidRDefault="007E5C6D" w:rsidP="007E5C6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7E5C6D" w:rsidRPr="00C56FCC" w:rsidRDefault="005830BD" w:rsidP="007E5C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Часть первая п</w:t>
            </w:r>
            <w:r w:rsidR="007E5C6D" w:rsidRPr="00C56FCC">
              <w:rPr>
                <w:rFonts w:ascii="Times New Roman" w:hAnsi="Times New Roman"/>
                <w:bCs/>
              </w:rPr>
              <w:t>ункт</w:t>
            </w:r>
            <w:r w:rsidRPr="00C56FCC">
              <w:rPr>
                <w:rFonts w:ascii="Times New Roman" w:hAnsi="Times New Roman"/>
                <w:bCs/>
              </w:rPr>
              <w:t>а</w:t>
            </w:r>
            <w:r w:rsidR="007E5C6D" w:rsidRPr="00C56FCC">
              <w:rPr>
                <w:rFonts w:ascii="Times New Roman" w:hAnsi="Times New Roman"/>
                <w:bCs/>
              </w:rPr>
              <w:t xml:space="preserve"> 2 статьи 289</w:t>
            </w:r>
          </w:p>
        </w:tc>
        <w:tc>
          <w:tcPr>
            <w:tcW w:w="4530" w:type="dxa"/>
          </w:tcPr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289. Налогообложение некоммерческих организаций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2.</w:t>
            </w:r>
            <w:r w:rsidRPr="00C56FCC">
              <w:t xml:space="preserve"> </w:t>
            </w: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При соблюдении условий, указанных в пункте 1 настоящей статьи, следующие доходы некоммерческой организации подлежат исключению из совокупного годового дохода: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доход по договору на осуществление государственного социального заказа;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вознаграждения по депозитам;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вступительные и членские взносы;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взносы участников кондоминиума;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превышение суммы положительной курсовой разницы над суммой отрицательной курсовой разницы, возникшее по размещенным на депозите деньгам, в том числе по вознаграждениям по ним;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доход в виде безвозмездно полученного имущества, в том числе благотворительной помощи, гранта, включая указанный в подпункте 13) пункта 1 статьи 1 настоящего Кодекса, спонсорской помощи, денег и другого имущества, полученных на безвозмездной основе.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</w:tc>
        <w:tc>
          <w:tcPr>
            <w:tcW w:w="4536" w:type="dxa"/>
          </w:tcPr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289. Налогообложение некоммерческих организаций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2. При соблюдении условий, указанных в пункте 1 настоящей статьи, следующие доходы некоммерческой организации подлежат исключению из совокупного годового дохода: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доход по договору на осуществление государственного социального заказа;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вознаграждения по депозитам;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вступительные и членские взносы;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взносы участников кондоминиума;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превышение суммы положительной курсовой разницы над суммой отрицательной курсовой разницы, возникшее по размещенным на депозите деньгам, в том числе по вознаграждениям по ним;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доход в виде безвозмездно полученного имущества, в том числе благотворительной помощи, гранта, включая указанный в подпункте 13) пункта 1 статьи 1 настоящего Кодекса, спонсорской помощи, денег и другого имущества, полученных на безвозмездной основе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;</w:t>
            </w:r>
          </w:p>
          <w:p w:rsidR="007E5C6D" w:rsidRPr="00C56FCC" w:rsidRDefault="003B0721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вклады </w:t>
            </w:r>
            <w:r w:rsidR="00DF6D79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адвокатов, являющихся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партнёр</w:t>
            </w:r>
            <w:r w:rsidR="00DF6D79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ами адвокатской конторы,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в </w:t>
            </w:r>
            <w:r w:rsidR="00DF6D79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её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имущество, а также производимые ими </w:t>
            </w:r>
            <w:r w:rsidR="007E5C6D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взносы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(отчисления) на содержание адвокатск</w:t>
            </w:r>
            <w:r w:rsidR="00F52FA2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ой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контор</w:t>
            </w:r>
            <w:r w:rsidR="00F52FA2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ы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.</w:t>
            </w:r>
            <w:r w:rsidR="007E5C6D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</w:tc>
        <w:tc>
          <w:tcPr>
            <w:tcW w:w="4820" w:type="dxa"/>
          </w:tcPr>
          <w:p w:rsidR="007E5C6D" w:rsidRPr="00C56FCC" w:rsidRDefault="0066565E" w:rsidP="007E5C6D">
            <w:pPr>
              <w:spacing w:after="0" w:line="240" w:lineRule="auto"/>
              <w:ind w:firstLine="36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В соответствии с пунктом 2 статьи 17 Закона РК «О некоммерческих организациях», пунктами 1 – 3 статьи 63 Закона РК «Об адвокатской деятельности и юридической помощи» адвокатские конторы являются некоммерческими организациями, создаваемыми адвокатами</w:t>
            </w:r>
            <w:r w:rsidRPr="00C56FCC">
              <w:t xml:space="preserve"> </w:t>
            </w:r>
            <w:r w:rsidRPr="00C56FCC">
              <w:rPr>
                <w:rFonts w:ascii="Times New Roman" w:hAnsi="Times New Roman"/>
              </w:rPr>
              <w:t>в целях обеспечения их материальных, организационно-правовых и иных условий оказания адвокатами юридической помощи</w:t>
            </w:r>
            <w:r w:rsidR="00C36CF0" w:rsidRPr="00C56FCC">
              <w:rPr>
                <w:rFonts w:ascii="Times New Roman" w:hAnsi="Times New Roman"/>
              </w:rPr>
              <w:t xml:space="preserve"> (аренда офиса, приобретение мебели и оргтехники, выплата заработной платы помощникам адвокато</w:t>
            </w:r>
            <w:r w:rsidR="002A2243" w:rsidRPr="00C56FCC">
              <w:rPr>
                <w:rFonts w:ascii="Times New Roman" w:hAnsi="Times New Roman"/>
              </w:rPr>
              <w:t>в</w:t>
            </w:r>
            <w:r w:rsidR="00C36CF0" w:rsidRPr="00C56FCC">
              <w:rPr>
                <w:rFonts w:ascii="Times New Roman" w:hAnsi="Times New Roman"/>
              </w:rPr>
              <w:t>, с которыми трудовые договоры в соответствии с пунктом 2 статьи 38 Закона РК «Об адвокатской деятельности и юридической помощи» должны заключаться адвокатской конторой)</w:t>
            </w:r>
            <w:r w:rsidRPr="00C56FCC">
              <w:rPr>
                <w:rFonts w:ascii="Times New Roman" w:hAnsi="Times New Roman"/>
              </w:rPr>
              <w:t xml:space="preserve">. </w:t>
            </w:r>
            <w:r w:rsidR="00C36CF0" w:rsidRPr="00C56FCC">
              <w:rPr>
                <w:rFonts w:ascii="Times New Roman" w:hAnsi="Times New Roman"/>
              </w:rPr>
              <w:t xml:space="preserve">Финансирование деятельности адвокатской конторы возможно либо за счёт вкладов </w:t>
            </w:r>
            <w:r w:rsidR="00B5647D" w:rsidRPr="00C56FCC">
              <w:rPr>
                <w:rFonts w:ascii="Times New Roman" w:hAnsi="Times New Roman"/>
              </w:rPr>
              <w:t>адвокатов-</w:t>
            </w:r>
            <w:r w:rsidR="00C36CF0" w:rsidRPr="00C56FCC">
              <w:rPr>
                <w:rFonts w:ascii="Times New Roman" w:hAnsi="Times New Roman"/>
              </w:rPr>
              <w:t>партнёров адвокатской конторы в её имущество (с</w:t>
            </w:r>
            <w:r w:rsidRPr="00C56FCC">
              <w:rPr>
                <w:rFonts w:ascii="Times New Roman" w:hAnsi="Times New Roman"/>
              </w:rPr>
              <w:t>огласно пункту 10 статьи 63 Закона РК «Об адвокатской деятельности и юридической помощи»</w:t>
            </w:r>
            <w:r w:rsidR="00C36CF0" w:rsidRPr="00C56FCC">
              <w:rPr>
                <w:rFonts w:ascii="Times New Roman" w:hAnsi="Times New Roman"/>
              </w:rPr>
              <w:t>)</w:t>
            </w:r>
            <w:r w:rsidR="002A2243" w:rsidRPr="00C56FCC">
              <w:rPr>
                <w:rFonts w:ascii="Times New Roman" w:hAnsi="Times New Roman"/>
              </w:rPr>
              <w:t>, либо за счёт взносов (отчислений)</w:t>
            </w:r>
            <w:r w:rsidR="00B5647D" w:rsidRPr="00C56FCC">
              <w:rPr>
                <w:rFonts w:ascii="Times New Roman" w:hAnsi="Times New Roman"/>
              </w:rPr>
              <w:t xml:space="preserve"> адвокатов-партнёров.</w:t>
            </w:r>
            <w:r w:rsidR="00C36CF0" w:rsidRPr="00C56FCC">
              <w:rPr>
                <w:rFonts w:ascii="Times New Roman" w:hAnsi="Times New Roman"/>
              </w:rPr>
              <w:t xml:space="preserve"> </w:t>
            </w:r>
          </w:p>
          <w:p w:rsidR="0066565E" w:rsidRPr="00C56FCC" w:rsidRDefault="0066565E" w:rsidP="007E5C6D">
            <w:pPr>
              <w:spacing w:after="0" w:line="240" w:lineRule="auto"/>
              <w:ind w:firstLine="36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Таким образом, любое имущество, которое адвокаты будут вносить в качестве вкладов в имущество адвокатской конторы, а также любые взносы и отчисления адвокатов в пользу адвокатской конторы будут направлены исключительно для целей материальных, организационно-правовых и иных условий оказания адвокатами юридической помощи</w:t>
            </w:r>
            <w:r w:rsidR="00C36CF0" w:rsidRPr="00C56FCC">
              <w:rPr>
                <w:rFonts w:ascii="Times New Roman" w:hAnsi="Times New Roman"/>
              </w:rPr>
              <w:t>.</w:t>
            </w:r>
            <w:r w:rsidR="00B5647D" w:rsidRPr="00C56FCC">
              <w:rPr>
                <w:rFonts w:ascii="Times New Roman" w:hAnsi="Times New Roman"/>
              </w:rPr>
              <w:t xml:space="preserve"> Следовательно, такие доходы имеют ту же природу, что и перечисленные в текущей редакции пункта 2 статьи 289 НК РК</w:t>
            </w:r>
            <w:r w:rsidR="009A4739" w:rsidRPr="00C56FCC">
              <w:rPr>
                <w:rFonts w:ascii="Times New Roman" w:hAnsi="Times New Roman"/>
              </w:rPr>
              <w:t>,</w:t>
            </w:r>
            <w:r w:rsidR="00B5647D" w:rsidRPr="00C56FCC">
              <w:rPr>
                <w:rFonts w:ascii="Times New Roman" w:hAnsi="Times New Roman"/>
              </w:rPr>
              <w:t xml:space="preserve"> и не должны включаться в совокупный годовой доход адвокатской конторы</w:t>
            </w:r>
            <w:r w:rsidR="009A4739" w:rsidRPr="00C56FCC">
              <w:rPr>
                <w:rFonts w:ascii="Times New Roman" w:hAnsi="Times New Roman"/>
              </w:rPr>
              <w:t xml:space="preserve">. При этом расходы адвокатской конторы, произведённые за счёт вышеупомянутых доходов, не будут подлежать вычету согласно подпункту 21) статьи 264 НК </w:t>
            </w:r>
            <w:r w:rsidR="009A4739" w:rsidRPr="00C56FCC">
              <w:rPr>
                <w:rFonts w:ascii="Times New Roman" w:hAnsi="Times New Roman"/>
              </w:rPr>
              <w:lastRenderedPageBreak/>
              <w:t>РК.</w:t>
            </w:r>
          </w:p>
        </w:tc>
      </w:tr>
      <w:tr w:rsidR="00C56FCC" w:rsidRPr="00C56FCC" w:rsidTr="00C56FCC">
        <w:tc>
          <w:tcPr>
            <w:tcW w:w="562" w:type="dxa"/>
          </w:tcPr>
          <w:p w:rsidR="007E5C6D" w:rsidRPr="00C56FCC" w:rsidRDefault="007E5C6D" w:rsidP="007E5C6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7E5C6D" w:rsidRPr="00C56FCC" w:rsidRDefault="007E5C6D" w:rsidP="007E5C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8</w:t>
            </w:r>
          </w:p>
          <w:p w:rsidR="007E5C6D" w:rsidRPr="00C56FCC" w:rsidRDefault="007E5C6D" w:rsidP="007E5C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 xml:space="preserve">статьи 317 </w:t>
            </w:r>
          </w:p>
          <w:p w:rsidR="007E5C6D" w:rsidRPr="00C56FCC" w:rsidRDefault="007E5C6D" w:rsidP="007E5C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0" w:type="dxa"/>
          </w:tcPr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317. Особенности налогообложения доходов в отдельных случаях</w:t>
            </w: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7E5C6D" w:rsidRPr="00C56FCC" w:rsidRDefault="007E5C6D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CF080A" w:rsidRPr="00C56FCC" w:rsidRDefault="007E5C6D" w:rsidP="00CF080A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Отсутствует.</w:t>
            </w:r>
          </w:p>
        </w:tc>
        <w:tc>
          <w:tcPr>
            <w:tcW w:w="4536" w:type="dxa"/>
          </w:tcPr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317. Особенности налогообложения доходов в отдельных случаях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…</w:t>
            </w:r>
          </w:p>
          <w:p w:rsidR="007E5C6D" w:rsidRPr="00C56FCC" w:rsidRDefault="007E5C6D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 По доходам адвокат</w:t>
            </w:r>
            <w:r w:rsidR="00CF080A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ов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, являющ</w:t>
            </w:r>
            <w:r w:rsidR="00CF080A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ихся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="00450FC2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партнёр</w:t>
            </w:r>
            <w:r w:rsidR="00CF080A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ами</w:t>
            </w:r>
            <w:r w:rsidR="00450FC2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адвокатской конторы, 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исчисление</w:t>
            </w:r>
            <w:r w:rsidR="00F64F5C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, удержание 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и </w:t>
            </w:r>
            <w:r w:rsidR="00F64F5C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перечисление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индивидуального подоходного налога, а также представление налоговой отчетности </w:t>
            </w:r>
            <w:r w:rsidR="00CF080A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может 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производ</w:t>
            </w:r>
            <w:r w:rsidR="00CF080A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иться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="002C46F5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адвокатской конторой 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 порядке и сроки, которые установлены параграфом 2 главы 36, главами 39 и 40 настоящего Кодекса, по ставкам, предусмотренным статьей 320 настоящего Кодекса</w:t>
            </w:r>
            <w:r w:rsidRPr="00C56FCC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7E5C6D" w:rsidRPr="00C56FCC" w:rsidRDefault="00313019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Пунктом 5 статьи 63 Закона РК «Об адвокатской деятельности и юридической помощи» предусмотрено, что адвокатская контора в соответствии с налоговым законодательством может выступать налоговым агентом адвокатов по доходам, полученным ими в связи с осуществлением адвокатской деятельности.</w:t>
            </w:r>
            <w:r w:rsidR="0072222F" w:rsidRPr="00C56FCC">
              <w:rPr>
                <w:rFonts w:ascii="Times New Roman" w:hAnsi="Times New Roman"/>
              </w:rPr>
              <w:t xml:space="preserve"> Закон вступил в силу с 22 июля 2018 года, однако до настоящего времени в налоговое законодательство не внесены изменения, которые бы позволили адвокатской конторе быть налоговым агентом адвокатов по доходам, полученным в рамках осуществления адвокатской деятельности. Настоящим предлагается устранить данный пробел.</w:t>
            </w:r>
          </w:p>
        </w:tc>
      </w:tr>
      <w:tr w:rsidR="00C56FCC" w:rsidRPr="00C56FCC" w:rsidTr="00C56FCC">
        <w:tc>
          <w:tcPr>
            <w:tcW w:w="562" w:type="dxa"/>
          </w:tcPr>
          <w:p w:rsidR="00CF080A" w:rsidRPr="00C56FCC" w:rsidRDefault="00CF080A" w:rsidP="007E5C6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CF080A" w:rsidRPr="00C56FCC" w:rsidRDefault="00CF080A" w:rsidP="007E5C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3 статьи 356</w:t>
            </w:r>
          </w:p>
        </w:tc>
        <w:tc>
          <w:tcPr>
            <w:tcW w:w="4530" w:type="dxa"/>
          </w:tcPr>
          <w:p w:rsidR="00CF080A" w:rsidRPr="00C56FCC" w:rsidRDefault="00CF080A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356. Общие положения по индивидуальному подоходному налогу, исчисляемому физическим лицом самостоятельно</w:t>
            </w:r>
          </w:p>
          <w:p w:rsidR="00CF080A" w:rsidRPr="00C56FCC" w:rsidRDefault="00CF080A" w:rsidP="007E5C6D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CF080A" w:rsidRPr="00C56FCC" w:rsidRDefault="00CF080A" w:rsidP="00CF080A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Отсутствует.</w:t>
            </w:r>
          </w:p>
        </w:tc>
        <w:tc>
          <w:tcPr>
            <w:tcW w:w="4536" w:type="dxa"/>
          </w:tcPr>
          <w:p w:rsidR="00CF080A" w:rsidRPr="00C56FCC" w:rsidRDefault="00CF080A" w:rsidP="00CF080A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Статья 356. Общие положения по индивидуальному подоходному налогу, исчисляемому физическим лицом самостоятельно</w:t>
            </w:r>
          </w:p>
          <w:p w:rsidR="00CF080A" w:rsidRPr="00C56FCC" w:rsidRDefault="00CF080A" w:rsidP="007E5C6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2A724C" w:rsidRPr="00C56FCC" w:rsidRDefault="00CF080A" w:rsidP="00CF080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3. </w:t>
            </w:r>
            <w:r w:rsidR="002A724C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Адвокатская контора по решению адвокатов, </w:t>
            </w:r>
            <w:r w:rsidR="002A724C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являющихся её партнёрами, может выступать</w:t>
            </w:r>
            <w:r w:rsidR="002A724C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их налоговым агентом с возложением на адвокатскую контору одновременно обязанностей по:</w:t>
            </w:r>
          </w:p>
          <w:p w:rsidR="00CF080A" w:rsidRPr="00C56FCC" w:rsidRDefault="00CF080A" w:rsidP="00CF080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исчислению, удержанию и перечислению </w:t>
            </w:r>
            <w:r w:rsidR="00FC689D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 бюджет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индивидуального подоходного налога по доходам</w:t>
            </w:r>
            <w:r w:rsidR="002E5A18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адвокатов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;</w:t>
            </w:r>
          </w:p>
          <w:p w:rsidR="00CF080A" w:rsidRPr="00C56FCC" w:rsidRDefault="00CF080A" w:rsidP="00CF080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исчислению и уплате </w:t>
            </w:r>
            <w:r w:rsidR="002A724C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 бюджет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социального налога </w:t>
            </w:r>
            <w:r w:rsidR="002E5A18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за адвокатов,</w:t>
            </w:r>
            <w:r w:rsidR="002E5A18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являющихся партнёрами адвокатской конторы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:rsidR="00CF080A" w:rsidRPr="00C56FCC" w:rsidRDefault="00CF080A" w:rsidP="002E5A1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Принятие </w:t>
            </w:r>
            <w:r w:rsidR="002E5A18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вышеуказанного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решения вводится в действие</w:t>
            </w:r>
            <w:r w:rsidR="002E5A18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 начала квартала, следующего за кварталом, в котором принято такое решение</w:t>
            </w:r>
            <w:r w:rsidR="002E5A18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, а его отмена –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с начала квартала, следующего за кварталом, в котором отменено такое решение.</w:t>
            </w:r>
          </w:p>
        </w:tc>
        <w:tc>
          <w:tcPr>
            <w:tcW w:w="4820" w:type="dxa"/>
          </w:tcPr>
          <w:p w:rsidR="00CF080A" w:rsidRPr="00C56FCC" w:rsidRDefault="0072222F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См. обоснование к пункту 3 настоящей сравнительной таблиц</w:t>
            </w:r>
            <w:r w:rsidR="007C6422" w:rsidRPr="00C56FCC">
              <w:rPr>
                <w:rFonts w:ascii="Times New Roman" w:hAnsi="Times New Roman"/>
              </w:rPr>
              <w:t>ы</w:t>
            </w:r>
            <w:r w:rsidRPr="00C56FCC">
              <w:rPr>
                <w:rFonts w:ascii="Times New Roman" w:hAnsi="Times New Roman"/>
              </w:rPr>
              <w:t xml:space="preserve"> выше.</w:t>
            </w:r>
          </w:p>
        </w:tc>
      </w:tr>
      <w:tr w:rsidR="00C56FCC" w:rsidRPr="00C56FCC" w:rsidTr="00C56FCC">
        <w:tc>
          <w:tcPr>
            <w:tcW w:w="562" w:type="dxa"/>
          </w:tcPr>
          <w:p w:rsidR="008F749B" w:rsidRPr="00C56FCC" w:rsidRDefault="008F749B" w:rsidP="0082104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8F749B" w:rsidRPr="00C56FCC" w:rsidRDefault="008F749B" w:rsidP="008210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4</w:t>
            </w:r>
          </w:p>
          <w:p w:rsidR="008F749B" w:rsidRPr="00C56FCC" w:rsidRDefault="008F749B" w:rsidP="008210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статьи 363</w:t>
            </w:r>
          </w:p>
          <w:p w:rsidR="008F749B" w:rsidRPr="00C56FCC" w:rsidRDefault="008F749B" w:rsidP="0082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749B" w:rsidRPr="00C56FCC" w:rsidRDefault="008F749B" w:rsidP="0082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0" w:type="dxa"/>
          </w:tcPr>
          <w:p w:rsidR="008F749B" w:rsidRPr="00C56FCC" w:rsidRDefault="008F749B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363. Декларация по индивидуальному подоходному налогу</w:t>
            </w:r>
          </w:p>
          <w:p w:rsidR="008F749B" w:rsidRPr="00C56FCC" w:rsidRDefault="008F749B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8F749B" w:rsidRPr="00C56FCC" w:rsidRDefault="008F749B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8F749B" w:rsidRPr="00C56FCC" w:rsidRDefault="008F749B" w:rsidP="0082104D">
            <w:pPr>
              <w:spacing w:after="0" w:line="240" w:lineRule="auto"/>
              <w:ind w:firstLine="54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363. Декларация по индивидуальному подоходному налогу</w:t>
            </w:r>
          </w:p>
          <w:p w:rsidR="008F749B" w:rsidRPr="00C56FCC" w:rsidRDefault="008F749B" w:rsidP="0082104D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8F749B" w:rsidRPr="00C56FCC" w:rsidRDefault="008F749B" w:rsidP="0082104D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В случае, предусмотренном пунктом 3 статьи 356 настоящего Кодекса, представление декларация по индивидуальному подоходному налогу по доходам адвокатов производится адвокатской конторой.</w:t>
            </w:r>
          </w:p>
        </w:tc>
        <w:tc>
          <w:tcPr>
            <w:tcW w:w="4820" w:type="dxa"/>
          </w:tcPr>
          <w:p w:rsidR="008F749B" w:rsidRPr="00C56FCC" w:rsidRDefault="0072222F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См. обоснование к пункту 3 настоящей сравнительной таблиц</w:t>
            </w:r>
            <w:r w:rsidR="007C6422" w:rsidRPr="00C56FCC">
              <w:rPr>
                <w:rFonts w:ascii="Times New Roman" w:hAnsi="Times New Roman"/>
              </w:rPr>
              <w:t>ы</w:t>
            </w:r>
            <w:r w:rsidRPr="00C56FCC">
              <w:rPr>
                <w:rFonts w:ascii="Times New Roman" w:hAnsi="Times New Roman"/>
              </w:rPr>
              <w:t xml:space="preserve"> выше.</w:t>
            </w:r>
          </w:p>
        </w:tc>
      </w:tr>
      <w:tr w:rsidR="00C56FCC" w:rsidRPr="00C56FCC" w:rsidTr="00C56FCC">
        <w:tc>
          <w:tcPr>
            <w:tcW w:w="562" w:type="dxa"/>
          </w:tcPr>
          <w:p w:rsidR="00F8155C" w:rsidRPr="00C56FCC" w:rsidRDefault="00F8155C" w:rsidP="00F8155C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F8155C" w:rsidRPr="00C56FCC" w:rsidRDefault="00F8155C" w:rsidP="00F815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Подпункт 1) пункта 5 статьи 372</w:t>
            </w:r>
          </w:p>
        </w:tc>
        <w:tc>
          <w:tcPr>
            <w:tcW w:w="4530" w:type="dxa"/>
          </w:tcPr>
          <w:p w:rsidR="00F8155C" w:rsidRPr="00C56FCC" w:rsidRDefault="00F8155C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372. Оборот по реализации товаров, работ, услуг</w:t>
            </w:r>
          </w:p>
          <w:p w:rsidR="00175706" w:rsidRPr="00C56FCC" w:rsidRDefault="00175706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F8155C" w:rsidRPr="00C56FCC" w:rsidRDefault="00F8155C" w:rsidP="00F8155C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5. Не являются оборотом по реализации:</w:t>
            </w:r>
          </w:p>
          <w:p w:rsidR="00F8155C" w:rsidRPr="00C56FCC" w:rsidRDefault="00F8155C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1)</w:t>
            </w:r>
            <w:r w:rsidR="00435DDD"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передача имущества в качестве вклада в уставный капитал;</w:t>
            </w:r>
          </w:p>
          <w:p w:rsidR="00F8155C" w:rsidRPr="00C56FCC" w:rsidRDefault="00F8155C" w:rsidP="00F8155C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4536" w:type="dxa"/>
          </w:tcPr>
          <w:p w:rsidR="00435DDD" w:rsidRPr="00C56FCC" w:rsidRDefault="00435DDD" w:rsidP="00435DDD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372. Оборот по реализации товаров, работ, услуг</w:t>
            </w:r>
          </w:p>
          <w:p w:rsidR="00175706" w:rsidRPr="00C56FCC" w:rsidRDefault="00175706" w:rsidP="00435DDD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435DDD" w:rsidRPr="00C56FCC" w:rsidRDefault="00435DDD" w:rsidP="00435DDD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5. Не являются оборотом по реализации:</w:t>
            </w:r>
          </w:p>
          <w:p w:rsidR="00435DDD" w:rsidRPr="00C56FCC" w:rsidRDefault="00435DDD" w:rsidP="00435DDD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1) передача имущества в качестве вклада в уставный капитал</w:t>
            </w:r>
            <w:r w:rsidR="00A73B29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а также в имущество адвокатской конторы, внесенное ее партнерами</w:t>
            </w: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F8155C" w:rsidRPr="00C56FCC" w:rsidRDefault="00435DDD" w:rsidP="00435DDD">
            <w:pPr>
              <w:spacing w:after="0" w:line="240" w:lineRule="auto"/>
              <w:ind w:firstLine="54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4820" w:type="dxa"/>
          </w:tcPr>
          <w:p w:rsidR="00F8155C" w:rsidRPr="00C56FCC" w:rsidRDefault="003E78F4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Адвокатские конторы являются некоммерческими организациями, уставный капитал у них не образуется. Однако в соответствии с пунктом 10 статьи 63 Закона РК «Об адвокатской деятельности и юридической помощи» партнёры адвокатск</w:t>
            </w:r>
            <w:r w:rsidR="00DD463A" w:rsidRPr="00C56FCC">
              <w:rPr>
                <w:rFonts w:ascii="Times New Roman" w:hAnsi="Times New Roman"/>
              </w:rPr>
              <w:t>ой</w:t>
            </w:r>
            <w:r w:rsidRPr="00C56FCC">
              <w:rPr>
                <w:rFonts w:ascii="Times New Roman" w:hAnsi="Times New Roman"/>
              </w:rPr>
              <w:t xml:space="preserve"> контор</w:t>
            </w:r>
            <w:r w:rsidR="00DD463A" w:rsidRPr="00C56FCC">
              <w:rPr>
                <w:rFonts w:ascii="Times New Roman" w:hAnsi="Times New Roman"/>
              </w:rPr>
              <w:t>ы</w:t>
            </w:r>
            <w:r w:rsidRPr="00C56FCC">
              <w:rPr>
                <w:rFonts w:ascii="Times New Roman" w:hAnsi="Times New Roman"/>
              </w:rPr>
              <w:t xml:space="preserve"> могут вносить </w:t>
            </w:r>
            <w:r w:rsidR="00DD463A" w:rsidRPr="00C56FCC">
              <w:rPr>
                <w:rFonts w:ascii="Times New Roman" w:hAnsi="Times New Roman"/>
              </w:rPr>
              <w:t xml:space="preserve">своё </w:t>
            </w:r>
            <w:r w:rsidRPr="00C56FCC">
              <w:rPr>
                <w:rFonts w:ascii="Times New Roman" w:hAnsi="Times New Roman"/>
              </w:rPr>
              <w:t>имуществ</w:t>
            </w:r>
            <w:r w:rsidR="00DD463A" w:rsidRPr="00C56FCC">
              <w:rPr>
                <w:rFonts w:ascii="Times New Roman" w:hAnsi="Times New Roman"/>
              </w:rPr>
              <w:t xml:space="preserve">о в качестве </w:t>
            </w:r>
            <w:r w:rsidRPr="00C56FCC">
              <w:rPr>
                <w:rFonts w:ascii="Times New Roman" w:hAnsi="Times New Roman"/>
              </w:rPr>
              <w:t>вклад</w:t>
            </w:r>
            <w:r w:rsidR="00DD463A" w:rsidRPr="00C56FCC">
              <w:rPr>
                <w:rFonts w:ascii="Times New Roman" w:hAnsi="Times New Roman"/>
              </w:rPr>
              <w:t>ов</w:t>
            </w:r>
            <w:r w:rsidRPr="00C56FCC">
              <w:rPr>
                <w:rFonts w:ascii="Times New Roman" w:hAnsi="Times New Roman"/>
              </w:rPr>
              <w:t xml:space="preserve"> в имущество </w:t>
            </w:r>
            <w:r w:rsidR="00DD463A" w:rsidRPr="00C56FCC">
              <w:rPr>
                <w:rFonts w:ascii="Times New Roman" w:hAnsi="Times New Roman"/>
              </w:rPr>
              <w:t>адвокатской конторы, которое будет принадлежать адвокатской конторе на праве собственности. Природа вкладов в имущество адвокатской конторы и вкладов в уставный капитал иных юридических лиц одинакова, в связи с чем такие вклады в имущество не должны рассматриваться в качестве оборота по реализации.</w:t>
            </w:r>
          </w:p>
        </w:tc>
      </w:tr>
      <w:tr w:rsidR="00C56FCC" w:rsidRPr="00C56FCC" w:rsidTr="00C56FCC">
        <w:tc>
          <w:tcPr>
            <w:tcW w:w="562" w:type="dxa"/>
          </w:tcPr>
          <w:p w:rsidR="00E67240" w:rsidRPr="00C56FCC" w:rsidRDefault="00E67240" w:rsidP="00E6724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E67240" w:rsidRPr="00C56FCC" w:rsidRDefault="005830BD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Новая с</w:t>
            </w:r>
            <w:r w:rsidR="00E67240" w:rsidRPr="00C56FCC">
              <w:rPr>
                <w:rFonts w:ascii="Times New Roman" w:hAnsi="Times New Roman"/>
                <w:bCs/>
              </w:rPr>
              <w:t>тать</w:t>
            </w:r>
            <w:r w:rsidR="00417AF2" w:rsidRPr="00C56FCC">
              <w:rPr>
                <w:rFonts w:ascii="Times New Roman" w:hAnsi="Times New Roman"/>
                <w:bCs/>
              </w:rPr>
              <w:t>я</w:t>
            </w:r>
            <w:r w:rsidR="00E67240" w:rsidRPr="00C56FCC">
              <w:rPr>
                <w:rFonts w:ascii="Times New Roman" w:hAnsi="Times New Roman"/>
                <w:bCs/>
              </w:rPr>
              <w:t xml:space="preserve"> 37</w:t>
            </w:r>
            <w:r w:rsidR="00417AF2" w:rsidRPr="00C56FCC">
              <w:rPr>
                <w:rFonts w:ascii="Times New Roman" w:hAnsi="Times New Roman"/>
                <w:bCs/>
              </w:rPr>
              <w:t>7-1</w:t>
            </w:r>
          </w:p>
        </w:tc>
        <w:tc>
          <w:tcPr>
            <w:tcW w:w="4530" w:type="dxa"/>
          </w:tcPr>
          <w:p w:rsidR="00E67240" w:rsidRPr="00C56FCC" w:rsidRDefault="00E67240" w:rsidP="00E67240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E67240" w:rsidRPr="00C56FCC" w:rsidRDefault="00E67240" w:rsidP="00E67240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Статья 37</w:t>
            </w:r>
            <w:r w:rsidR="001C0DDC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7-1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Оборот</w:t>
            </w:r>
            <w:r w:rsidR="001C0DDC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ы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 реализации</w:t>
            </w:r>
            <w:r w:rsidR="001C0DDC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осуществляемые по договору об оказании юридической помощи, заключенному с адвокатской конторой</w:t>
            </w:r>
          </w:p>
          <w:p w:rsidR="001C0DDC" w:rsidRPr="00C56FCC" w:rsidRDefault="00CA3D51" w:rsidP="00E67240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Предоставление юридической помощи 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клиенту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д</w:t>
            </w:r>
            <w:r w:rsidR="00E67240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оговор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у, заключенному</w:t>
            </w:r>
            <w:r w:rsidR="00E67240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адвокатской конторой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от имени всех входящих в неё партнёров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 w:rsidR="001C0DDC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 является оборотом по реализации адвокатской конторы.</w:t>
            </w:r>
          </w:p>
          <w:p w:rsidR="00E67240" w:rsidRPr="00C56FCC" w:rsidRDefault="001C0DDC" w:rsidP="004E2980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договору об оказании юридической помощи, заключенному адвокатской конторой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от имени всех входящих в неё партнёров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предоставленная 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клиенту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юридическая помощь является </w:t>
            </w:r>
            <w:r w:rsidR="00CA3D51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оборотом по реализации 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тех </w:t>
            </w:r>
            <w:r w:rsidR="00650139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адвокатов, </w:t>
            </w:r>
            <w:r w:rsidR="004E298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которые её</w:t>
            </w:r>
            <w:bookmarkStart w:id="0" w:name="_GoBack"/>
            <w:bookmarkEnd w:id="0"/>
            <w:r w:rsidR="004E298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5197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непосредственно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4E298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ока</w:t>
            </w:r>
            <w:r w:rsidR="00F00FBB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зываю</w:t>
            </w:r>
            <w:r w:rsidR="004E298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</w:t>
            </w:r>
            <w:r w:rsidR="00CA3D51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:rsidR="00E67240" w:rsidRPr="00C56FCC" w:rsidRDefault="0072222F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lastRenderedPageBreak/>
              <w:t>См. обоснование к пункту 3 настоящей сравнительной таблиц</w:t>
            </w:r>
            <w:r w:rsidR="007C6422" w:rsidRPr="00C56FCC">
              <w:rPr>
                <w:rFonts w:ascii="Times New Roman" w:hAnsi="Times New Roman"/>
              </w:rPr>
              <w:t>ы</w:t>
            </w:r>
            <w:r w:rsidRPr="00C56FCC">
              <w:rPr>
                <w:rFonts w:ascii="Times New Roman" w:hAnsi="Times New Roman"/>
              </w:rPr>
              <w:t xml:space="preserve"> выше.</w:t>
            </w:r>
          </w:p>
          <w:p w:rsidR="0072222F" w:rsidRPr="00C56FCC" w:rsidRDefault="0072222F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 xml:space="preserve">Кроме того, пунктом 7 статьи 63 Закона РК «Об адвокатской деятельности и юридической помощи» предусматривается, что договор об оказании юридической помощи с клиентом заключается адвокатской конторой от имени всех партнёров, входящих в неё. При этом юридическая помощь по такому договору может выполняться как всеми адвокатами одновременно, так и одним или несколькими из них. Для клиентов, которые заключают договоры с адвокатской конторой, действующей при заключении договора от имени всех входящих в неё партнёров, предпочтительнее и удобнее получать один счёт и один акт </w:t>
            </w:r>
            <w:r w:rsidRPr="00C56FCC">
              <w:rPr>
                <w:rFonts w:ascii="Times New Roman" w:hAnsi="Times New Roman"/>
              </w:rPr>
              <w:lastRenderedPageBreak/>
              <w:t xml:space="preserve">непосредственно от адвокатской конторы, а не несколько счетов и актов от всех или нескольких партнёров адвокатской конторы. В это связи вносится предложение </w:t>
            </w:r>
            <w:r w:rsidR="00CA3819" w:rsidRPr="00C56FCC">
              <w:rPr>
                <w:rFonts w:ascii="Times New Roman" w:hAnsi="Times New Roman"/>
              </w:rPr>
              <w:t xml:space="preserve">возложить обязанности по выписке счетов-фактур </w:t>
            </w:r>
            <w:r w:rsidR="007C6422" w:rsidRPr="00C56FCC">
              <w:rPr>
                <w:rFonts w:ascii="Times New Roman" w:hAnsi="Times New Roman"/>
              </w:rPr>
              <w:t xml:space="preserve">и подаче декларации по НДС </w:t>
            </w:r>
            <w:r w:rsidR="00CA3819" w:rsidRPr="00C56FCC">
              <w:rPr>
                <w:rFonts w:ascii="Times New Roman" w:hAnsi="Times New Roman"/>
              </w:rPr>
              <w:t>на адвокатские конторы, при этом предоставление юридической помощи будет рассматриваться в качестве оборота по реализации адвокатов, непосредственно оказывающих её клиенту в рамках договора, заключенного с адвокатской конторой.</w:t>
            </w:r>
            <w:r w:rsidRPr="00C56FCC">
              <w:rPr>
                <w:rFonts w:ascii="Times New Roman" w:hAnsi="Times New Roman"/>
              </w:rPr>
              <w:t xml:space="preserve"> </w:t>
            </w:r>
            <w:r w:rsidR="00680A1A" w:rsidRPr="00C56FCC">
              <w:rPr>
                <w:rFonts w:ascii="Times New Roman" w:hAnsi="Times New Roman"/>
              </w:rPr>
              <w:t>В данном случае регулирование схоже с обложением НДС оборотов по реализации по договорам комиссии за тем исключением, что адвокатская контора</w:t>
            </w:r>
            <w:r w:rsidR="007C6422" w:rsidRPr="00C56FCC">
              <w:rPr>
                <w:rFonts w:ascii="Times New Roman" w:hAnsi="Times New Roman"/>
              </w:rPr>
              <w:t>,</w:t>
            </w:r>
            <w:r w:rsidR="00680A1A" w:rsidRPr="00C56FCC">
              <w:rPr>
                <w:rFonts w:ascii="Times New Roman" w:hAnsi="Times New Roman"/>
              </w:rPr>
              <w:t xml:space="preserve"> в отличие от комиссионера</w:t>
            </w:r>
            <w:r w:rsidR="007C6422" w:rsidRPr="00C56FCC">
              <w:rPr>
                <w:rFonts w:ascii="Times New Roman" w:hAnsi="Times New Roman"/>
              </w:rPr>
              <w:t>,</w:t>
            </w:r>
            <w:r w:rsidR="00680A1A" w:rsidRPr="00C56FCC">
              <w:rPr>
                <w:rFonts w:ascii="Times New Roman" w:hAnsi="Times New Roman"/>
              </w:rPr>
              <w:t xml:space="preserve"> не получает вознаграждение от адвокатов.</w:t>
            </w:r>
          </w:p>
        </w:tc>
      </w:tr>
      <w:tr w:rsidR="00C56FCC" w:rsidRPr="00C56FCC" w:rsidTr="00C56FCC">
        <w:tc>
          <w:tcPr>
            <w:tcW w:w="562" w:type="dxa"/>
          </w:tcPr>
          <w:p w:rsidR="0055197D" w:rsidRPr="00C56FCC" w:rsidRDefault="0055197D" w:rsidP="00E6724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55197D" w:rsidRPr="00C56FCC" w:rsidRDefault="0055197D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15 статьи 381</w:t>
            </w:r>
          </w:p>
        </w:tc>
        <w:tc>
          <w:tcPr>
            <w:tcW w:w="4530" w:type="dxa"/>
          </w:tcPr>
          <w:p w:rsidR="00D05001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381. Особенности определения размера оборота по реализации в отдельных случаях</w:t>
            </w:r>
          </w:p>
          <w:p w:rsidR="00D05001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55197D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D05001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381. Особенности определения размера оборота по реализации в отдельных случаях</w:t>
            </w:r>
          </w:p>
          <w:p w:rsidR="00D05001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55197D" w:rsidRPr="00C56FCC" w:rsidRDefault="00D05001" w:rsidP="00D05001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15. </w:t>
            </w:r>
            <w:r w:rsidR="0010140F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 предоставлении клиенту юридической помощи п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 договору, заключенному адвокатской конторой от имени всех входящих в не</w:t>
            </w:r>
            <w:r w:rsidR="007218F3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партн</w:t>
            </w:r>
            <w:r w:rsidR="007218F3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ров, </w:t>
            </w:r>
            <w:r w:rsidR="0010140F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размер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оборот</w:t>
            </w:r>
            <w:r w:rsidR="0010140F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 реализации </w:t>
            </w:r>
            <w:r w:rsidR="0010140F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определяется в </w:t>
            </w:r>
            <w:r w:rsidR="00F00FBB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размере стоимости юридической помощи, </w:t>
            </w:r>
            <w:r w:rsidR="003E6DAB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установленной</w:t>
            </w:r>
            <w:r w:rsidR="00F00FBB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договоре,</w:t>
            </w:r>
            <w:r w:rsidR="003E6DAB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без включения в нее налога на добавленную стоимость</w:t>
            </w:r>
          </w:p>
        </w:tc>
        <w:tc>
          <w:tcPr>
            <w:tcW w:w="4820" w:type="dxa"/>
          </w:tcPr>
          <w:p w:rsidR="00680A1A" w:rsidRPr="00C56FCC" w:rsidRDefault="00680A1A" w:rsidP="00680A1A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См. обоснование к пункту 7 настоящей сравнительной таблиц</w:t>
            </w:r>
            <w:r w:rsidR="007C6422" w:rsidRPr="00C56FCC">
              <w:rPr>
                <w:rFonts w:ascii="Times New Roman" w:hAnsi="Times New Roman"/>
              </w:rPr>
              <w:t>ы</w:t>
            </w:r>
            <w:r w:rsidRPr="00C56FCC">
              <w:rPr>
                <w:rFonts w:ascii="Times New Roman" w:hAnsi="Times New Roman"/>
              </w:rPr>
              <w:t xml:space="preserve"> выше.</w:t>
            </w:r>
          </w:p>
          <w:p w:rsidR="0055197D" w:rsidRPr="00C56FCC" w:rsidRDefault="0055197D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</w:p>
        </w:tc>
      </w:tr>
      <w:tr w:rsidR="00C56FCC" w:rsidRPr="00C56FCC" w:rsidTr="00C56FCC">
        <w:tc>
          <w:tcPr>
            <w:tcW w:w="562" w:type="dxa"/>
          </w:tcPr>
          <w:p w:rsidR="00E67240" w:rsidRPr="00C56FCC" w:rsidRDefault="00E67240" w:rsidP="00E6724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E67240" w:rsidRPr="00C56FCC" w:rsidRDefault="00E67240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Подпункт 6) пункта 1</w:t>
            </w:r>
          </w:p>
          <w:p w:rsidR="00E67240" w:rsidRPr="00C56FCC" w:rsidRDefault="00E67240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статьи 412</w:t>
            </w:r>
          </w:p>
          <w:p w:rsidR="00E67240" w:rsidRPr="00C56FCC" w:rsidRDefault="00E67240" w:rsidP="00E67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67240" w:rsidRPr="00C56FCC" w:rsidRDefault="00E67240" w:rsidP="00E67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0" w:type="dxa"/>
          </w:tcPr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412. Общие положения</w:t>
            </w:r>
          </w:p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1. При совершении оборота по реализации товаров, работ, услуг обязаны выписывать счет-фактуру:</w:t>
            </w:r>
          </w:p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E67240" w:rsidRPr="00C56FCC" w:rsidRDefault="00E67240" w:rsidP="00E67240">
            <w:pPr>
              <w:spacing w:after="0" w:line="240" w:lineRule="auto"/>
              <w:ind w:firstLine="54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412. Общие положения</w:t>
            </w:r>
          </w:p>
          <w:p w:rsidR="00E67240" w:rsidRPr="00C56FCC" w:rsidRDefault="00E67240" w:rsidP="00E67240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1. При совершении оборота по реализации товаров, работ, услуг обязаны выписывать счет-фактуру:</w:t>
            </w:r>
          </w:p>
          <w:p w:rsidR="00E67240" w:rsidRPr="00C56FCC" w:rsidRDefault="00E67240" w:rsidP="00E67240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67240" w:rsidRPr="00C56FCC" w:rsidRDefault="00E67240" w:rsidP="00E67240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6) адвокатская контора, не являющаяся плательщиком налога на добавленную стоимость, в случае, установленном пунктом 3 статьи 418 настоящего Кодекса.</w:t>
            </w:r>
          </w:p>
        </w:tc>
        <w:tc>
          <w:tcPr>
            <w:tcW w:w="4820" w:type="dxa"/>
          </w:tcPr>
          <w:p w:rsidR="007C6422" w:rsidRPr="00C56FCC" w:rsidRDefault="007C6422" w:rsidP="007C6422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См. обоснование к пункту 7 настоящей сравнительной таблицы выше.</w:t>
            </w:r>
          </w:p>
          <w:p w:rsidR="00E67240" w:rsidRPr="00C56FCC" w:rsidRDefault="00E67240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</w:p>
        </w:tc>
      </w:tr>
      <w:tr w:rsidR="00C56FCC" w:rsidRPr="00C56FCC" w:rsidTr="00C56FCC">
        <w:trPr>
          <w:trHeight w:val="63"/>
        </w:trPr>
        <w:tc>
          <w:tcPr>
            <w:tcW w:w="562" w:type="dxa"/>
          </w:tcPr>
          <w:p w:rsidR="00E67240" w:rsidRPr="00C56FCC" w:rsidRDefault="00E67240" w:rsidP="00E6724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E67240" w:rsidRPr="00C56FCC" w:rsidRDefault="00E67240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3 статьи 418</w:t>
            </w:r>
          </w:p>
        </w:tc>
        <w:tc>
          <w:tcPr>
            <w:tcW w:w="4530" w:type="dxa"/>
          </w:tcPr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418. Особенности выписки счетов-фактур в отдельных случаях</w:t>
            </w:r>
          </w:p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67240" w:rsidRPr="00C56FCC" w:rsidRDefault="00E67240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E67240" w:rsidRPr="00C56FCC" w:rsidRDefault="00E67240" w:rsidP="00E67240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418. Особенности выписки счетов-фактур в отдельных случаях</w:t>
            </w:r>
          </w:p>
          <w:p w:rsidR="00E67240" w:rsidRPr="00C56FCC" w:rsidRDefault="00E67240" w:rsidP="00E67240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67240" w:rsidRPr="00C56FCC" w:rsidRDefault="00E67240" w:rsidP="00E67240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3. </w:t>
            </w:r>
            <w:r w:rsidR="007218F3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 предоставлении клиенту юридической помощи по договору, заключенному адвокатской конторой от имени всех входящих в нее партнеров, выписка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счета-фактуры клиенту осуществляется адвокатской конторой.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Размер оборота по реализации юридической помощи в счете-фактуре, выписываемом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клиенту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конторой, указывается исходя из стоимости юридической помощи, установленной в договоре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D743A" w:rsidRPr="00C56FCC">
              <w:t xml:space="preserve">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заключенном адвокатской конторой от имени всех входящих в нее партнеров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Счет-фактура выписывается адвокатской конторой с учетом данных: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счет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-фактур, выписанн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ых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адвокатской конторе входящими в нее партнерами, являющимися плательщиками налога на добавленную стоимость. В этом случае сумма облагаемого (необлагаемого) оборота, указанная в счет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ах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-фактур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ах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выписанн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ых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конторе входящими в нее партнерами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включается в облагаемый (необлагаемый) оборот в счете-фактуре, выписываемом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конторой клиенту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;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документ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подтверждающ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их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стоимость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юридической помощи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выписанн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ых адвокатской конторе входящими в нее партнерами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не являющимся плательщик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ами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налога на добавленную стоимость. В этом случае стоимость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юридической помощи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указанная в таком документе, включается в необлагаемый оборот в счете-фактуре,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выписываемом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конторой клиенту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Размер оборота в счете-фактуре, выписываемом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конторе входящим в нее партнером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указывается исходя из стоимости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юридической помощи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предоставленной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клиенту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таким партнёром в рамках договора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 w:rsidR="000C1A26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заключенного адвокатской конторой от имени всех входящих в нее партнеров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7218F3" w:rsidRPr="00C56FCC" w:rsidRDefault="007218F3" w:rsidP="007218F3">
            <w:pPr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При выписке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адвокатской конторой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счета-фактуры получателю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юридической помощи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целях выполнения требований подпунктов 2) и 3) пункта 5 статьи 412 настоящего Кодекса в качестве реквизитов поставщика указываются реквизиты </w:t>
            </w:r>
            <w:r w:rsidR="003D743A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адвокатской конторы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:rsidR="007C6422" w:rsidRPr="00C56FCC" w:rsidRDefault="007C6422" w:rsidP="007C6422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lastRenderedPageBreak/>
              <w:t>См. обоснование к пункту 7 настоящей сравнительной таблицы выше.</w:t>
            </w:r>
          </w:p>
          <w:p w:rsidR="00E67240" w:rsidRPr="00C56FCC" w:rsidRDefault="00E67240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</w:p>
        </w:tc>
      </w:tr>
      <w:tr w:rsidR="00C56FCC" w:rsidRPr="00C56FCC" w:rsidTr="00C56FCC">
        <w:trPr>
          <w:trHeight w:val="63"/>
        </w:trPr>
        <w:tc>
          <w:tcPr>
            <w:tcW w:w="562" w:type="dxa"/>
          </w:tcPr>
          <w:p w:rsidR="00647D62" w:rsidRPr="00C56FCC" w:rsidRDefault="00647D62" w:rsidP="00E6724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647D62" w:rsidRPr="00C56FCC" w:rsidRDefault="00647D62" w:rsidP="00E67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1 статьи 424</w:t>
            </w:r>
          </w:p>
        </w:tc>
        <w:tc>
          <w:tcPr>
            <w:tcW w:w="4530" w:type="dxa"/>
          </w:tcPr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Статья 424. Налоговая декларация 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1. Плательщик налога на добавленную стоимость, указанный в подпункте 1) пункта 1 статьи 367 настоящего Кодекса,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месяца, следующего за отчетным налоговым периодом, если иное не установлено настоящей статьей.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Обязательство по представлению декларации по налогу на добавленную стоимость не распространяется на лиц, указанных в подпункте 2) пункта 1 статьи 367 настоящего Кодекса, по которым не произведена постановка на регистрационный учет по налогу на добавленную стоимость.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случаях, предусмотренных пунктом 3 статьи 426 настоящего Кодекса, оператор представляет декларацию по налогу на добавленную стоимость по контрактной деятельности по всем участникам простого </w:t>
            </w: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товарищества (консорциума).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  <w:p w:rsidR="00D7767B" w:rsidRPr="00C56FCC" w:rsidRDefault="00D7767B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</w:tc>
        <w:tc>
          <w:tcPr>
            <w:tcW w:w="4536" w:type="dxa"/>
          </w:tcPr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Статья 424. Налоговая декларация 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1. Плательщик налога на добавленную стоимость, указанный в подпункте 1) пункта 1 статьи 367 настоящего Кодекса,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месяца, следующего за отчетным налоговым периодом, если иное не установлено настоящей статьей.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Обязательство по представлению декларации по налогу на добавленную стоимость не распространяется на лиц, указанных в подпункте 2) пункта 1 статьи 367 настоящего Кодекса, по которым не произведена постановка на регистрационный учет по налогу на добавленную стоимость.</w:t>
            </w:r>
          </w:p>
          <w:p w:rsidR="00647D62" w:rsidRPr="00C56FCC" w:rsidRDefault="00647D62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случаях, предусмотренных пунктом 3 статьи 426 настоящего Кодекса, оператор представляет декларацию по налогу на добавленную стоимость по контрактной деятельности по всем участникам простого </w:t>
            </w: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товарищества (консорциума).</w:t>
            </w:r>
          </w:p>
          <w:p w:rsidR="00647D62" w:rsidRPr="00C56FCC" w:rsidRDefault="00D7767B" w:rsidP="00647D62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 случаях, предусмотренных пунктом 3 статьи 418 настоящего Кодекса, адвокатская контора представляет декларацию по налогу на добавленную стоимость </w:t>
            </w:r>
            <w:r w:rsidR="00B7131E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за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7131E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каждого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7131E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входящего в нее партнера, являющегося плательщиком налога на добавленную стоимость, указанным в пункте 1 статьи 367 настоящего Кодекса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:rsidR="007C6422" w:rsidRPr="00C56FCC" w:rsidRDefault="007C6422" w:rsidP="007C6422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lastRenderedPageBreak/>
              <w:t>См. обоснование к пункту 7 настоящей сравнительной таблицы выше.</w:t>
            </w:r>
          </w:p>
          <w:p w:rsidR="00647D62" w:rsidRPr="00C56FCC" w:rsidRDefault="00647D62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</w:p>
        </w:tc>
      </w:tr>
      <w:tr w:rsidR="00C56FCC" w:rsidRPr="00C56FCC" w:rsidTr="00C56FCC">
        <w:trPr>
          <w:trHeight w:val="63"/>
        </w:trPr>
        <w:tc>
          <w:tcPr>
            <w:tcW w:w="562" w:type="dxa"/>
          </w:tcPr>
          <w:p w:rsidR="005830BD" w:rsidRPr="00C56FCC" w:rsidRDefault="005830BD" w:rsidP="005830B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5830BD" w:rsidRPr="00C56FCC" w:rsidRDefault="005830BD" w:rsidP="005830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4 статьи 482</w:t>
            </w:r>
          </w:p>
        </w:tc>
        <w:tc>
          <w:tcPr>
            <w:tcW w:w="4530" w:type="dxa"/>
          </w:tcPr>
          <w:p w:rsidR="005830BD" w:rsidRPr="00C56FCC" w:rsidRDefault="005830BD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482. Плательщики</w:t>
            </w:r>
          </w:p>
          <w:p w:rsidR="005830BD" w:rsidRPr="00C56FCC" w:rsidRDefault="005830BD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5830BD" w:rsidRPr="00C56FCC" w:rsidRDefault="005830BD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</w:t>
            </w:r>
            <w:r w:rsidR="00EB731D"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</w:tcPr>
          <w:p w:rsidR="005830BD" w:rsidRPr="00C56FCC" w:rsidRDefault="005830BD" w:rsidP="005830B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482. Плательщики</w:t>
            </w: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5830BD" w:rsidRPr="00C56FCC" w:rsidRDefault="005830BD" w:rsidP="005830B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</w:t>
            </w:r>
          </w:p>
          <w:p w:rsidR="005830BD" w:rsidRPr="00C56FCC" w:rsidRDefault="005830BD" w:rsidP="003E607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4. </w:t>
            </w:r>
            <w:r w:rsidR="003E6075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 случае, </w:t>
            </w:r>
            <w:r w:rsidR="00E86497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предусмотренном </w:t>
            </w:r>
            <w:r w:rsidR="003E6075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пунктом 3 статьи 356 настоящего Кодекса, за адвокатов, </w:t>
            </w:r>
            <w:r w:rsidR="003E6075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являющихся партнёрами адвокатской конторы,</w:t>
            </w:r>
            <w:r w:rsidR="003E6075"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обязанность по исчислению и уплате социального налога возлагается на адвокатскую контору</w:t>
            </w:r>
            <w:r w:rsidR="003E6075"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5830BD" w:rsidRPr="00C56FCC" w:rsidRDefault="007C6422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 xml:space="preserve">См. обоснование к пункту 3 настоящей сравнительной таблицы выше. Учитывая общую форму налоговой отчётности по ИПН и </w:t>
            </w:r>
            <w:proofErr w:type="spellStart"/>
            <w:r w:rsidRPr="00C56FCC">
              <w:rPr>
                <w:rFonts w:ascii="Times New Roman" w:hAnsi="Times New Roman"/>
              </w:rPr>
              <w:t>соц</w:t>
            </w:r>
            <w:proofErr w:type="gramStart"/>
            <w:r w:rsidRPr="00C56FCC">
              <w:rPr>
                <w:rFonts w:ascii="Times New Roman" w:hAnsi="Times New Roman"/>
              </w:rPr>
              <w:t>.н</w:t>
            </w:r>
            <w:proofErr w:type="gramEnd"/>
            <w:r w:rsidRPr="00C56FCC">
              <w:rPr>
                <w:rFonts w:ascii="Times New Roman" w:hAnsi="Times New Roman"/>
              </w:rPr>
              <w:t>алогу</w:t>
            </w:r>
            <w:proofErr w:type="spellEnd"/>
            <w:r w:rsidRPr="00C56FCC">
              <w:rPr>
                <w:rFonts w:ascii="Times New Roman" w:hAnsi="Times New Roman"/>
              </w:rPr>
              <w:t xml:space="preserve">, на адвокатские конторы также предлагается возложить обязанность по исчислению, уплате </w:t>
            </w:r>
            <w:proofErr w:type="spellStart"/>
            <w:r w:rsidRPr="00C56FCC">
              <w:rPr>
                <w:rFonts w:ascii="Times New Roman" w:hAnsi="Times New Roman"/>
              </w:rPr>
              <w:t>соц.налога</w:t>
            </w:r>
            <w:proofErr w:type="spellEnd"/>
            <w:r w:rsidRPr="00C56FCC">
              <w:rPr>
                <w:rFonts w:ascii="Times New Roman" w:hAnsi="Times New Roman"/>
              </w:rPr>
              <w:t xml:space="preserve"> и подаче декларации за адвокатов, являющихся её партнёрами.</w:t>
            </w:r>
          </w:p>
        </w:tc>
      </w:tr>
      <w:tr w:rsidR="00C56FCC" w:rsidRPr="00C56FCC" w:rsidTr="00C56FCC">
        <w:trPr>
          <w:trHeight w:val="63"/>
        </w:trPr>
        <w:tc>
          <w:tcPr>
            <w:tcW w:w="562" w:type="dxa"/>
          </w:tcPr>
          <w:p w:rsidR="00E86497" w:rsidRPr="00C56FCC" w:rsidRDefault="00E86497" w:rsidP="005830B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E86497" w:rsidRPr="00C56FCC" w:rsidRDefault="00E86497" w:rsidP="005830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6FCC">
              <w:rPr>
                <w:rFonts w:ascii="Times New Roman" w:hAnsi="Times New Roman"/>
                <w:bCs/>
              </w:rPr>
              <w:t>Пункт 3 статьи 489</w:t>
            </w:r>
          </w:p>
        </w:tc>
        <w:tc>
          <w:tcPr>
            <w:tcW w:w="4530" w:type="dxa"/>
          </w:tcPr>
          <w:p w:rsidR="00E86497" w:rsidRPr="00C56FCC" w:rsidRDefault="00E86497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489. Декларация по индивидуальному подоходному налогу и социальному налогу</w:t>
            </w:r>
          </w:p>
          <w:p w:rsidR="00E86497" w:rsidRPr="00C56FCC" w:rsidRDefault="00E86497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86497" w:rsidRPr="00C56FCC" w:rsidRDefault="00E86497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Отсутствует.</w:t>
            </w:r>
          </w:p>
        </w:tc>
        <w:tc>
          <w:tcPr>
            <w:tcW w:w="4536" w:type="dxa"/>
          </w:tcPr>
          <w:p w:rsidR="00E86497" w:rsidRPr="00C56FCC" w:rsidRDefault="00E86497" w:rsidP="00E86497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Статья 489. Декларация по индивидуальному подоходному налогу и социальному налогу</w:t>
            </w:r>
          </w:p>
          <w:p w:rsidR="00E86497" w:rsidRPr="00C56FCC" w:rsidRDefault="00E86497" w:rsidP="00E86497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E86497" w:rsidRPr="00C56FCC" w:rsidRDefault="00E86497" w:rsidP="00E8649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C56FCC">
              <w:t xml:space="preserve"> 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 случае, предусмотренном пунктом 3 статьи 356 настоящего Кодекса, </w:t>
            </w:r>
            <w:r w:rsidRPr="00C56FC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за адвокатов, </w:t>
            </w:r>
            <w:r w:rsidRPr="00C56F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являющихся партнёрами</w:t>
            </w:r>
            <w:r w:rsidRPr="00C56FC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адвокатской конторы, представление декларации по индивидуальному подоходному и социальному налогу производится адвокатской конторой.</w:t>
            </w:r>
          </w:p>
        </w:tc>
        <w:tc>
          <w:tcPr>
            <w:tcW w:w="4820" w:type="dxa"/>
          </w:tcPr>
          <w:p w:rsidR="00E86497" w:rsidRPr="00C56FCC" w:rsidRDefault="00021936" w:rsidP="0072222F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C56FCC">
              <w:rPr>
                <w:rFonts w:ascii="Times New Roman" w:hAnsi="Times New Roman"/>
              </w:rPr>
              <w:t>См. обоснование к пункту 12 настоящей сравнительной таблицы выше.</w:t>
            </w:r>
          </w:p>
        </w:tc>
      </w:tr>
      <w:tr w:rsidR="00917F44" w:rsidRPr="00C56FCC" w:rsidTr="00C25D6E">
        <w:trPr>
          <w:trHeight w:val="63"/>
        </w:trPr>
        <w:tc>
          <w:tcPr>
            <w:tcW w:w="15730" w:type="dxa"/>
            <w:gridSpan w:val="5"/>
          </w:tcPr>
          <w:p w:rsidR="00917F44" w:rsidRDefault="00917F44" w:rsidP="00917F44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</w:rPr>
            </w:pPr>
          </w:p>
          <w:p w:rsidR="00917F44" w:rsidRPr="00917F44" w:rsidRDefault="00917F44" w:rsidP="00917F44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  <w:b/>
              </w:rPr>
            </w:pPr>
            <w:r w:rsidRPr="00917F44">
              <w:rPr>
                <w:rFonts w:ascii="Times New Roman" w:hAnsi="Times New Roman"/>
                <w:b/>
              </w:rPr>
              <w:t>В Закон</w:t>
            </w:r>
            <w:r>
              <w:rPr>
                <w:rFonts w:ascii="Times New Roman" w:hAnsi="Times New Roman"/>
                <w:b/>
              </w:rPr>
              <w:t xml:space="preserve"> «Об адвокатской деятельности и правовой помощи» № 176-</w:t>
            </w:r>
            <w:r>
              <w:rPr>
                <w:rFonts w:ascii="Times New Roman" w:hAnsi="Times New Roman"/>
                <w:b/>
                <w:lang w:val="en-US"/>
              </w:rPr>
              <w:t>VI</w:t>
            </w:r>
            <w:r w:rsidRPr="00917F4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 5 июля 2018 года</w:t>
            </w:r>
            <w:r w:rsidR="009020CE">
              <w:rPr>
                <w:rFonts w:ascii="Times New Roman" w:hAnsi="Times New Roman"/>
                <w:b/>
              </w:rPr>
              <w:t xml:space="preserve"> (Закон)</w:t>
            </w:r>
          </w:p>
        </w:tc>
      </w:tr>
      <w:tr w:rsidR="00917F44" w:rsidRPr="00C56FCC" w:rsidTr="00C56FCC">
        <w:trPr>
          <w:trHeight w:val="63"/>
        </w:trPr>
        <w:tc>
          <w:tcPr>
            <w:tcW w:w="562" w:type="dxa"/>
          </w:tcPr>
          <w:p w:rsidR="00917F44" w:rsidRPr="00C56FCC" w:rsidRDefault="00917F44" w:rsidP="005830B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917F44" w:rsidRPr="00C56FCC" w:rsidRDefault="00783753" w:rsidP="005830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11 статьи 33</w:t>
            </w:r>
          </w:p>
        </w:tc>
        <w:tc>
          <w:tcPr>
            <w:tcW w:w="4530" w:type="dxa"/>
          </w:tcPr>
          <w:p w:rsidR="00783753" w:rsidRDefault="00783753" w:rsidP="00783753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753">
              <w:rPr>
                <w:rFonts w:ascii="Times New Roman" w:eastAsia="Times New Roman" w:hAnsi="Times New Roman"/>
                <w:color w:val="000000"/>
                <w:lang w:eastAsia="ru-RU"/>
              </w:rPr>
              <w:t>Статья 33. Права и обязанности адвоката</w:t>
            </w:r>
          </w:p>
          <w:p w:rsidR="00783753" w:rsidRDefault="00783753" w:rsidP="00783753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917F44" w:rsidRPr="00783753" w:rsidRDefault="00783753" w:rsidP="00783753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</w:rPr>
            </w:pPr>
            <w:r w:rsidRPr="00783753">
              <w:rPr>
                <w:rFonts w:ascii="Times New Roman" w:hAnsi="Times New Roman"/>
                <w:bCs/>
              </w:rPr>
              <w:t>11. Адвокату запрещается состоять на государственной службе и заниматься </w:t>
            </w:r>
            <w:bookmarkStart w:id="1" w:name="SUB1004794758_2"/>
            <w:r w:rsidRPr="00783753">
              <w:rPr>
                <w:rFonts w:ascii="Times New Roman" w:hAnsi="Times New Roman"/>
                <w:bCs/>
              </w:rPr>
              <w:fldChar w:fldCharType="begin"/>
            </w:r>
            <w:r w:rsidRPr="00783753">
              <w:rPr>
                <w:rFonts w:ascii="Times New Roman" w:hAnsi="Times New Roman"/>
                <w:bCs/>
              </w:rPr>
              <w:instrText xml:space="preserve"> HYPERLINK "https://online.zakon.kz/Document/?doc_id=38259854" \l "sub_id=20000" \t "_parent" </w:instrText>
            </w:r>
            <w:r w:rsidRPr="00783753">
              <w:rPr>
                <w:rFonts w:ascii="Times New Roman" w:hAnsi="Times New Roman"/>
                <w:bCs/>
              </w:rPr>
              <w:fldChar w:fldCharType="separate"/>
            </w:r>
            <w:r w:rsidRPr="00783753">
              <w:rPr>
                <w:rFonts w:ascii="Times New Roman" w:hAnsi="Times New Roman"/>
                <w:bCs/>
              </w:rPr>
              <w:t>предпринимательской деятельностью</w:t>
            </w:r>
            <w:r w:rsidRPr="00783753">
              <w:rPr>
                <w:rFonts w:ascii="Times New Roman" w:hAnsi="Times New Roman"/>
                <w:bCs/>
              </w:rPr>
              <w:fldChar w:fldCharType="end"/>
            </w:r>
            <w:bookmarkEnd w:id="1"/>
            <w:r w:rsidRPr="00783753">
              <w:rPr>
                <w:rFonts w:ascii="Times New Roman" w:hAnsi="Times New Roman"/>
                <w:bCs/>
              </w:rPr>
              <w:t xml:space="preserve">, занимать иную оплачиваемую должность, кроме случаев вхождения в состав Высшего Судебного Совета Республики Казахстан </w:t>
            </w:r>
            <w:r w:rsidRPr="00783753">
              <w:rPr>
                <w:rFonts w:ascii="Times New Roman" w:hAnsi="Times New Roman"/>
                <w:bCs/>
              </w:rPr>
              <w:lastRenderedPageBreak/>
              <w:t>и 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      </w:r>
          </w:p>
        </w:tc>
        <w:tc>
          <w:tcPr>
            <w:tcW w:w="4536" w:type="dxa"/>
          </w:tcPr>
          <w:p w:rsidR="00783753" w:rsidRDefault="00783753" w:rsidP="00783753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75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Статья 33. Права и обязанности адвоката</w:t>
            </w:r>
          </w:p>
          <w:p w:rsidR="00783753" w:rsidRDefault="00783753" w:rsidP="00783753">
            <w:pPr>
              <w:spacing w:after="0" w:line="240" w:lineRule="auto"/>
              <w:ind w:firstLine="309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917F44" w:rsidRPr="00C56FCC" w:rsidRDefault="00783753" w:rsidP="00783753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753">
              <w:rPr>
                <w:rFonts w:ascii="Times New Roman" w:hAnsi="Times New Roman"/>
                <w:bCs/>
              </w:rPr>
              <w:t>11. Адвокату запрещается состоять на государственной службе и заниматься </w:t>
            </w:r>
            <w:hyperlink r:id="rId8" w:anchor="sub_id=20000" w:tgtFrame="_parent" w:history="1">
              <w:r w:rsidRPr="00783753">
                <w:rPr>
                  <w:rFonts w:ascii="Times New Roman" w:hAnsi="Times New Roman"/>
                  <w:bCs/>
                </w:rPr>
                <w:t>предпринимательской деятельностью</w:t>
              </w:r>
            </w:hyperlink>
            <w:r w:rsidRPr="00783753">
              <w:rPr>
                <w:rFonts w:ascii="Times New Roman" w:hAnsi="Times New Roman"/>
                <w:bCs/>
              </w:rPr>
              <w:t xml:space="preserve">, занимать иную оплачиваемую должность, кроме случаев вхождения в состав Высшего Судебного Совета Республики Казахстан </w:t>
            </w:r>
            <w:r w:rsidRPr="00783753">
              <w:rPr>
                <w:rFonts w:ascii="Times New Roman" w:hAnsi="Times New Roman"/>
                <w:bCs/>
              </w:rPr>
              <w:lastRenderedPageBreak/>
              <w:t xml:space="preserve">и наблюдательного совета </w:t>
            </w:r>
            <w:r w:rsidRPr="00783753">
              <w:rPr>
                <w:rFonts w:ascii="Times New Roman" w:hAnsi="Times New Roman"/>
                <w:b/>
                <w:bCs/>
              </w:rPr>
              <w:t>(совета директоров)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83753">
              <w:rPr>
                <w:rFonts w:ascii="Times New Roman" w:hAnsi="Times New Roman"/>
                <w:bCs/>
              </w:rPr>
              <w:t>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      </w:r>
          </w:p>
        </w:tc>
        <w:tc>
          <w:tcPr>
            <w:tcW w:w="4820" w:type="dxa"/>
          </w:tcPr>
          <w:p w:rsidR="00917F44" w:rsidRDefault="000C28AA" w:rsidP="000C28AA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Согласно действующему законодательству в акционерных обществах отсутствует наблюдательный совет, и его функции фактически осуществляются советом директор</w:t>
            </w:r>
            <w:r w:rsidR="003045CD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акционерного общества.</w:t>
            </w:r>
          </w:p>
          <w:p w:rsidR="003045CD" w:rsidRPr="00C56FCC" w:rsidRDefault="003045CD" w:rsidP="00B73D9A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целях соблюдения единообразия законодател</w:t>
            </w:r>
            <w:r w:rsidR="00E72518">
              <w:rPr>
                <w:rFonts w:ascii="Times New Roman" w:hAnsi="Times New Roman"/>
              </w:rPr>
              <w:t>ьства</w:t>
            </w:r>
            <w:r>
              <w:rPr>
                <w:rFonts w:ascii="Times New Roman" w:hAnsi="Times New Roman"/>
              </w:rPr>
              <w:t xml:space="preserve"> предлагаем дополнить </w:t>
            </w:r>
            <w:r w:rsidR="00B73D9A">
              <w:rPr>
                <w:rFonts w:ascii="Times New Roman" w:hAnsi="Times New Roman"/>
              </w:rPr>
              <w:t xml:space="preserve">пункт 11 </w:t>
            </w:r>
            <w:r>
              <w:rPr>
                <w:rFonts w:ascii="Times New Roman" w:hAnsi="Times New Roman"/>
              </w:rPr>
              <w:t>стать</w:t>
            </w:r>
            <w:r w:rsidR="00B73D9A">
              <w:rPr>
                <w:rFonts w:ascii="Times New Roman" w:hAnsi="Times New Roman"/>
              </w:rPr>
              <w:t>и 33</w:t>
            </w:r>
            <w:r>
              <w:rPr>
                <w:rFonts w:ascii="Times New Roman" w:hAnsi="Times New Roman"/>
              </w:rPr>
              <w:t xml:space="preserve"> </w:t>
            </w:r>
            <w:r w:rsidR="00B73D9A">
              <w:rPr>
                <w:rFonts w:ascii="Times New Roman" w:hAnsi="Times New Roman"/>
              </w:rPr>
              <w:t xml:space="preserve">Закона </w:t>
            </w:r>
            <w:r>
              <w:rPr>
                <w:rFonts w:ascii="Times New Roman" w:hAnsi="Times New Roman"/>
              </w:rPr>
              <w:t>словами «(совета директоров)»</w:t>
            </w:r>
            <w:r w:rsidR="00B73D9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917F44" w:rsidRPr="00C56FCC" w:rsidTr="00C56FCC">
        <w:trPr>
          <w:trHeight w:val="63"/>
        </w:trPr>
        <w:tc>
          <w:tcPr>
            <w:tcW w:w="562" w:type="dxa"/>
          </w:tcPr>
          <w:p w:rsidR="00917F44" w:rsidRPr="00C56FCC" w:rsidRDefault="00917F44" w:rsidP="005830BD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142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2" w:type="dxa"/>
          </w:tcPr>
          <w:p w:rsidR="00917F44" w:rsidRPr="00C56FCC" w:rsidRDefault="000C28AA" w:rsidP="005830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7 статьи 63</w:t>
            </w:r>
          </w:p>
        </w:tc>
        <w:tc>
          <w:tcPr>
            <w:tcW w:w="4530" w:type="dxa"/>
          </w:tcPr>
          <w:p w:rsidR="002C5D0B" w:rsidRDefault="000C28AA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>Статья 63. Адвокатская контора</w:t>
            </w: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2C5D0B"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917F44" w:rsidRPr="00C56FCC" w:rsidRDefault="000C28AA" w:rsidP="005830BD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 Ведение общих дел адвокатской конторы осуществляется управляющим партнером, если иное не установлено партнерским договором. Договор об оказании юридической помощи с клиентом заключается адвокатской конторой в лице управляющего партнера </w:t>
            </w:r>
            <w:r w:rsidRPr="002C5D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 имени</w:t>
            </w: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всех партнеров, входящих в нее.</w:t>
            </w:r>
          </w:p>
        </w:tc>
        <w:tc>
          <w:tcPr>
            <w:tcW w:w="4536" w:type="dxa"/>
          </w:tcPr>
          <w:p w:rsidR="002C5D0B" w:rsidRDefault="002C5D0B" w:rsidP="002C5D0B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>Статья 63. Адвокатская контора</w:t>
            </w: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…</w:t>
            </w:r>
          </w:p>
          <w:p w:rsidR="00917F44" w:rsidRPr="00C56FCC" w:rsidRDefault="002C5D0B" w:rsidP="002C5D0B">
            <w:pPr>
              <w:spacing w:after="0" w:line="240" w:lineRule="auto"/>
              <w:ind w:firstLine="3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 Ведение общих дел адвокатской конторы осуществляется управляющим партнером, если иное не установлено партнерским договором. Договор об оказании юридической помощи с клиентом заключается адвокатской конторой в лице управляющего партнера </w:t>
            </w:r>
            <w:r w:rsidRPr="002C5D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интересах</w:t>
            </w:r>
            <w:r w:rsidRPr="002C5D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всех партнеров, входящих в нее.</w:t>
            </w:r>
          </w:p>
        </w:tc>
        <w:tc>
          <w:tcPr>
            <w:tcW w:w="4820" w:type="dxa"/>
          </w:tcPr>
          <w:p w:rsidR="00AE5E1C" w:rsidRPr="00C56FCC" w:rsidRDefault="002C5D0B" w:rsidP="00AE5E1C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Согласно гражданскому законодательству основанием для совершения сделки «от имени» другой стороны является </w:t>
            </w:r>
            <w:r w:rsidR="00C1734A">
              <w:rPr>
                <w:rFonts w:ascii="Times New Roman" w:hAnsi="Times New Roman"/>
              </w:rPr>
              <w:t>институт представительства</w:t>
            </w:r>
            <w:r>
              <w:rPr>
                <w:rFonts w:ascii="Times New Roman" w:hAnsi="Times New Roman"/>
              </w:rPr>
              <w:t xml:space="preserve">. В этом случае, </w:t>
            </w:r>
            <w:r w:rsidRPr="002C5D0B">
              <w:rPr>
                <w:rFonts w:ascii="Times New Roman" w:hAnsi="Times New Roman"/>
              </w:rPr>
              <w:t xml:space="preserve">права и обязанности </w:t>
            </w:r>
            <w:r w:rsidR="009020CE">
              <w:rPr>
                <w:rFonts w:ascii="Times New Roman" w:hAnsi="Times New Roman"/>
              </w:rPr>
              <w:t>п</w:t>
            </w:r>
            <w:r w:rsidR="009020CE" w:rsidRPr="002C5D0B">
              <w:rPr>
                <w:rFonts w:ascii="Times New Roman" w:hAnsi="Times New Roman"/>
              </w:rPr>
              <w:t xml:space="preserve">о сделке, </w:t>
            </w:r>
            <w:r w:rsidRPr="002C5D0B">
              <w:rPr>
                <w:rFonts w:ascii="Times New Roman" w:hAnsi="Times New Roman"/>
              </w:rPr>
              <w:t>возникают непосредственно у доверителя</w:t>
            </w:r>
            <w:r>
              <w:rPr>
                <w:rFonts w:ascii="Times New Roman" w:hAnsi="Times New Roman"/>
              </w:rPr>
              <w:t>.</w:t>
            </w:r>
            <w:r w:rsidR="009020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9020CE">
              <w:rPr>
                <w:rFonts w:ascii="Times New Roman" w:hAnsi="Times New Roman"/>
              </w:rPr>
              <w:t xml:space="preserve">Вместе с тем, общий смысл статьи 63 Закона предполагает, что адвокатская контора </w:t>
            </w:r>
            <w:r w:rsidR="003045CD">
              <w:rPr>
                <w:rFonts w:ascii="Times New Roman" w:hAnsi="Times New Roman"/>
              </w:rPr>
              <w:t xml:space="preserve">действует от своего имени и может выступать </w:t>
            </w:r>
            <w:r w:rsidR="009020CE">
              <w:rPr>
                <w:rFonts w:ascii="Times New Roman" w:hAnsi="Times New Roman"/>
              </w:rPr>
              <w:t xml:space="preserve">налоговым </w:t>
            </w:r>
            <w:r w:rsidR="003045CD">
              <w:rPr>
                <w:rFonts w:ascii="Times New Roman" w:hAnsi="Times New Roman"/>
              </w:rPr>
              <w:t>агентом</w:t>
            </w:r>
            <w:r w:rsidR="00C1734A">
              <w:rPr>
                <w:rFonts w:ascii="Times New Roman" w:hAnsi="Times New Roman"/>
              </w:rPr>
              <w:t>, что прямо предусмотрено п. 5 ст. 63 Закона</w:t>
            </w:r>
            <w:r w:rsidR="00AE5E1C">
              <w:rPr>
                <w:rFonts w:ascii="Times New Roman" w:hAnsi="Times New Roman"/>
              </w:rPr>
              <w:t>. Согласно налоговому законодательству налоговый агент действует в интересах налогоплательщика (получателя дохода) и уплачивает налоги за его счет</w:t>
            </w:r>
            <w:r w:rsidR="00C84C7E">
              <w:rPr>
                <w:rFonts w:ascii="Times New Roman" w:hAnsi="Times New Roman"/>
              </w:rPr>
              <w:t xml:space="preserve"> и</w:t>
            </w:r>
            <w:r w:rsidR="00AE5E1C">
              <w:rPr>
                <w:rFonts w:ascii="Times New Roman" w:hAnsi="Times New Roman"/>
              </w:rPr>
              <w:t xml:space="preserve"> от своего имени, а не от имени налогоплательщика.</w:t>
            </w:r>
            <w:r w:rsidR="003045CD">
              <w:rPr>
                <w:rFonts w:ascii="Times New Roman" w:hAnsi="Times New Roman"/>
              </w:rPr>
              <w:t xml:space="preserve"> </w:t>
            </w:r>
          </w:p>
          <w:p w:rsidR="00917F44" w:rsidRPr="00C56FCC" w:rsidRDefault="00917F44" w:rsidP="009020CE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</w:p>
        </w:tc>
      </w:tr>
    </w:tbl>
    <w:p w:rsidR="00EB4CBA" w:rsidRPr="00C56FCC" w:rsidRDefault="00967782"/>
    <w:sectPr w:rsidR="00EB4CBA" w:rsidRPr="00C56FCC" w:rsidSect="008E08BD">
      <w:footerReference w:type="even" r:id="rId9"/>
      <w:footerReference w:type="default" r:id="rId10"/>
      <w:pgSz w:w="16840" w:h="11900" w:orient="landscape"/>
      <w:pgMar w:top="851" w:right="567" w:bottom="851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82" w:rsidRDefault="00967782" w:rsidP="0043610D">
      <w:pPr>
        <w:spacing w:after="0" w:line="240" w:lineRule="auto"/>
      </w:pPr>
      <w:r>
        <w:separator/>
      </w:r>
    </w:p>
  </w:endnote>
  <w:endnote w:type="continuationSeparator" w:id="0">
    <w:p w:rsidR="00967782" w:rsidRDefault="00967782" w:rsidP="0043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4934672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3610D" w:rsidRDefault="0043610D" w:rsidP="0062442E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3610D" w:rsidRDefault="004361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912471547"/>
      <w:docPartObj>
        <w:docPartGallery w:val="Page Numbers (Bottom of Page)"/>
        <w:docPartUnique/>
      </w:docPartObj>
    </w:sdtPr>
    <w:sdtEndPr>
      <w:rPr>
        <w:rStyle w:val="a7"/>
        <w:rFonts w:ascii="Times New Roman" w:hAnsi="Times New Roman"/>
      </w:rPr>
    </w:sdtEndPr>
    <w:sdtContent>
      <w:p w:rsidR="0043610D" w:rsidRPr="0043610D" w:rsidRDefault="0043610D" w:rsidP="0062442E">
        <w:pPr>
          <w:pStyle w:val="a5"/>
          <w:framePr w:wrap="none" w:vAnchor="text" w:hAnchor="margin" w:xAlign="center" w:y="1"/>
          <w:rPr>
            <w:rStyle w:val="a7"/>
            <w:rFonts w:ascii="Times New Roman" w:hAnsi="Times New Roman"/>
          </w:rPr>
        </w:pPr>
        <w:r w:rsidRPr="0043610D">
          <w:rPr>
            <w:rStyle w:val="a7"/>
            <w:rFonts w:ascii="Times New Roman" w:hAnsi="Times New Roman"/>
          </w:rPr>
          <w:fldChar w:fldCharType="begin"/>
        </w:r>
        <w:r w:rsidRPr="0043610D">
          <w:rPr>
            <w:rStyle w:val="a7"/>
            <w:rFonts w:ascii="Times New Roman" w:hAnsi="Times New Roman"/>
          </w:rPr>
          <w:instrText xml:space="preserve"> PAGE </w:instrText>
        </w:r>
        <w:r w:rsidRPr="0043610D">
          <w:rPr>
            <w:rStyle w:val="a7"/>
            <w:rFonts w:ascii="Times New Roman" w:hAnsi="Times New Roman"/>
          </w:rPr>
          <w:fldChar w:fldCharType="separate"/>
        </w:r>
        <w:r w:rsidR="004E2980">
          <w:rPr>
            <w:rStyle w:val="a7"/>
            <w:rFonts w:ascii="Times New Roman" w:hAnsi="Times New Roman"/>
            <w:noProof/>
          </w:rPr>
          <w:t>4</w:t>
        </w:r>
        <w:r w:rsidRPr="0043610D">
          <w:rPr>
            <w:rStyle w:val="a7"/>
            <w:rFonts w:ascii="Times New Roman" w:hAnsi="Times New Roman"/>
          </w:rPr>
          <w:fldChar w:fldCharType="end"/>
        </w:r>
      </w:p>
    </w:sdtContent>
  </w:sdt>
  <w:p w:rsidR="0043610D" w:rsidRPr="0043610D" w:rsidRDefault="0043610D" w:rsidP="0043610D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82" w:rsidRDefault="00967782" w:rsidP="0043610D">
      <w:pPr>
        <w:spacing w:after="0" w:line="240" w:lineRule="auto"/>
      </w:pPr>
      <w:r>
        <w:separator/>
      </w:r>
    </w:p>
  </w:footnote>
  <w:footnote w:type="continuationSeparator" w:id="0">
    <w:p w:rsidR="00967782" w:rsidRDefault="00967782" w:rsidP="0043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329C2"/>
    <w:multiLevelType w:val="hybridMultilevel"/>
    <w:tmpl w:val="E2E60CAC"/>
    <w:lvl w:ilvl="0" w:tplc="B834354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D18276A" w:tentative="1">
      <w:start w:val="1"/>
      <w:numFmt w:val="lowerLetter"/>
      <w:lvlText w:val="%2."/>
      <w:lvlJc w:val="left"/>
      <w:pPr>
        <w:ind w:left="1440" w:hanging="360"/>
      </w:pPr>
    </w:lvl>
    <w:lvl w:ilvl="2" w:tplc="8682AB5C" w:tentative="1">
      <w:start w:val="1"/>
      <w:numFmt w:val="lowerRoman"/>
      <w:lvlText w:val="%3."/>
      <w:lvlJc w:val="right"/>
      <w:pPr>
        <w:ind w:left="2160" w:hanging="180"/>
      </w:pPr>
    </w:lvl>
    <w:lvl w:ilvl="3" w:tplc="5492F240" w:tentative="1">
      <w:start w:val="1"/>
      <w:numFmt w:val="decimal"/>
      <w:lvlText w:val="%4."/>
      <w:lvlJc w:val="left"/>
      <w:pPr>
        <w:ind w:left="2880" w:hanging="360"/>
      </w:pPr>
    </w:lvl>
    <w:lvl w:ilvl="4" w:tplc="27F0AD3C" w:tentative="1">
      <w:start w:val="1"/>
      <w:numFmt w:val="lowerLetter"/>
      <w:lvlText w:val="%5."/>
      <w:lvlJc w:val="left"/>
      <w:pPr>
        <w:ind w:left="3600" w:hanging="360"/>
      </w:pPr>
    </w:lvl>
    <w:lvl w:ilvl="5" w:tplc="770C887A" w:tentative="1">
      <w:start w:val="1"/>
      <w:numFmt w:val="lowerRoman"/>
      <w:lvlText w:val="%6."/>
      <w:lvlJc w:val="right"/>
      <w:pPr>
        <w:ind w:left="4320" w:hanging="180"/>
      </w:pPr>
    </w:lvl>
    <w:lvl w:ilvl="6" w:tplc="2F74BB92" w:tentative="1">
      <w:start w:val="1"/>
      <w:numFmt w:val="decimal"/>
      <w:lvlText w:val="%7."/>
      <w:lvlJc w:val="left"/>
      <w:pPr>
        <w:ind w:left="5040" w:hanging="360"/>
      </w:pPr>
    </w:lvl>
    <w:lvl w:ilvl="7" w:tplc="7A766A0E" w:tentative="1">
      <w:start w:val="1"/>
      <w:numFmt w:val="lowerLetter"/>
      <w:lvlText w:val="%8."/>
      <w:lvlJc w:val="left"/>
      <w:pPr>
        <w:ind w:left="5760" w:hanging="360"/>
      </w:pPr>
    </w:lvl>
    <w:lvl w:ilvl="8" w:tplc="0A4A2B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BD"/>
    <w:rsid w:val="00021936"/>
    <w:rsid w:val="00083FBE"/>
    <w:rsid w:val="000C1A26"/>
    <w:rsid w:val="000C28AA"/>
    <w:rsid w:val="000F29FE"/>
    <w:rsid w:val="0010140F"/>
    <w:rsid w:val="001445F0"/>
    <w:rsid w:val="00175706"/>
    <w:rsid w:val="001C0DDC"/>
    <w:rsid w:val="002642DA"/>
    <w:rsid w:val="002A2243"/>
    <w:rsid w:val="002A724C"/>
    <w:rsid w:val="002C46F5"/>
    <w:rsid w:val="002C5D0B"/>
    <w:rsid w:val="002E5A18"/>
    <w:rsid w:val="003045CD"/>
    <w:rsid w:val="00313019"/>
    <w:rsid w:val="0034450F"/>
    <w:rsid w:val="00361B34"/>
    <w:rsid w:val="003B0721"/>
    <w:rsid w:val="003B4993"/>
    <w:rsid w:val="003D743A"/>
    <w:rsid w:val="003E4D80"/>
    <w:rsid w:val="003E6075"/>
    <w:rsid w:val="003E6DAB"/>
    <w:rsid w:val="003E78F4"/>
    <w:rsid w:val="00417AF2"/>
    <w:rsid w:val="00430D38"/>
    <w:rsid w:val="00435DDD"/>
    <w:rsid w:val="0043610D"/>
    <w:rsid w:val="0045032F"/>
    <w:rsid w:val="00450FC2"/>
    <w:rsid w:val="00452DBA"/>
    <w:rsid w:val="00475E35"/>
    <w:rsid w:val="004774BF"/>
    <w:rsid w:val="004C20B1"/>
    <w:rsid w:val="004E2980"/>
    <w:rsid w:val="00520A3D"/>
    <w:rsid w:val="0055197D"/>
    <w:rsid w:val="00565502"/>
    <w:rsid w:val="005823B5"/>
    <w:rsid w:val="005830BD"/>
    <w:rsid w:val="00603DFF"/>
    <w:rsid w:val="00647D62"/>
    <w:rsid w:val="00650139"/>
    <w:rsid w:val="0066565E"/>
    <w:rsid w:val="00680A1A"/>
    <w:rsid w:val="006E5128"/>
    <w:rsid w:val="007218F3"/>
    <w:rsid w:val="0072222F"/>
    <w:rsid w:val="007413A5"/>
    <w:rsid w:val="0076320A"/>
    <w:rsid w:val="00783753"/>
    <w:rsid w:val="007871A1"/>
    <w:rsid w:val="007A467C"/>
    <w:rsid w:val="007C6388"/>
    <w:rsid w:val="007C6422"/>
    <w:rsid w:val="007E0D2E"/>
    <w:rsid w:val="007E5C6D"/>
    <w:rsid w:val="008D35A4"/>
    <w:rsid w:val="008E08BD"/>
    <w:rsid w:val="008F7297"/>
    <w:rsid w:val="008F749B"/>
    <w:rsid w:val="009020CE"/>
    <w:rsid w:val="00917F44"/>
    <w:rsid w:val="00956C88"/>
    <w:rsid w:val="00967782"/>
    <w:rsid w:val="009A4739"/>
    <w:rsid w:val="009C60C5"/>
    <w:rsid w:val="00A010BF"/>
    <w:rsid w:val="00A73B29"/>
    <w:rsid w:val="00AA4BE4"/>
    <w:rsid w:val="00AB0B5E"/>
    <w:rsid w:val="00AB5243"/>
    <w:rsid w:val="00AE5E1C"/>
    <w:rsid w:val="00AF3834"/>
    <w:rsid w:val="00B12209"/>
    <w:rsid w:val="00B2659A"/>
    <w:rsid w:val="00B439E9"/>
    <w:rsid w:val="00B5647D"/>
    <w:rsid w:val="00B7131E"/>
    <w:rsid w:val="00B73D9A"/>
    <w:rsid w:val="00BB6C9A"/>
    <w:rsid w:val="00C1734A"/>
    <w:rsid w:val="00C36CF0"/>
    <w:rsid w:val="00C56FCC"/>
    <w:rsid w:val="00C66E4E"/>
    <w:rsid w:val="00C75460"/>
    <w:rsid w:val="00C830BE"/>
    <w:rsid w:val="00C83D9C"/>
    <w:rsid w:val="00C84C7E"/>
    <w:rsid w:val="00CA3819"/>
    <w:rsid w:val="00CA3D51"/>
    <w:rsid w:val="00CD6665"/>
    <w:rsid w:val="00CF080A"/>
    <w:rsid w:val="00D05001"/>
    <w:rsid w:val="00D30ECB"/>
    <w:rsid w:val="00D7767B"/>
    <w:rsid w:val="00D824EB"/>
    <w:rsid w:val="00DC3809"/>
    <w:rsid w:val="00DD463A"/>
    <w:rsid w:val="00DF6D79"/>
    <w:rsid w:val="00E67240"/>
    <w:rsid w:val="00E72518"/>
    <w:rsid w:val="00E77CD6"/>
    <w:rsid w:val="00E85C54"/>
    <w:rsid w:val="00E86497"/>
    <w:rsid w:val="00EB731D"/>
    <w:rsid w:val="00EF446F"/>
    <w:rsid w:val="00EF6021"/>
    <w:rsid w:val="00F00FBB"/>
    <w:rsid w:val="00F46B18"/>
    <w:rsid w:val="00F52FA2"/>
    <w:rsid w:val="00F64F5C"/>
    <w:rsid w:val="00F8155C"/>
    <w:rsid w:val="00FC2D67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08BD"/>
    <w:pPr>
      <w:ind w:left="720"/>
      <w:contextualSpacing/>
    </w:pPr>
  </w:style>
  <w:style w:type="paragraph" w:customStyle="1" w:styleId="ConsPlusNormal">
    <w:name w:val="ConsPlusNormal"/>
    <w:rsid w:val="008E08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E08BD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10D"/>
    <w:rPr>
      <w:rFonts w:ascii="Calibri" w:eastAsia="Calibri" w:hAnsi="Calibri" w:cs="Times New Roman"/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43610D"/>
  </w:style>
  <w:style w:type="paragraph" w:styleId="a8">
    <w:name w:val="header"/>
    <w:basedOn w:val="a"/>
    <w:link w:val="a9"/>
    <w:uiPriority w:val="99"/>
    <w:unhideWhenUsed/>
    <w:rsid w:val="0043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610D"/>
    <w:rPr>
      <w:rFonts w:ascii="Calibri" w:eastAsia="Calibri" w:hAnsi="Calibri" w:cs="Times New Roman"/>
      <w:sz w:val="22"/>
      <w:szCs w:val="22"/>
    </w:rPr>
  </w:style>
  <w:style w:type="character" w:customStyle="1" w:styleId="s0">
    <w:name w:val="s0"/>
    <w:basedOn w:val="a0"/>
    <w:rsid w:val="00783753"/>
  </w:style>
  <w:style w:type="character" w:customStyle="1" w:styleId="s2">
    <w:name w:val="s2"/>
    <w:basedOn w:val="a0"/>
    <w:rsid w:val="00783753"/>
  </w:style>
  <w:style w:type="character" w:styleId="aa">
    <w:name w:val="Hyperlink"/>
    <w:basedOn w:val="a0"/>
    <w:uiPriority w:val="99"/>
    <w:semiHidden/>
    <w:unhideWhenUsed/>
    <w:rsid w:val="0078375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3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08BD"/>
    <w:pPr>
      <w:ind w:left="720"/>
      <w:contextualSpacing/>
    </w:pPr>
  </w:style>
  <w:style w:type="paragraph" w:customStyle="1" w:styleId="ConsPlusNormal">
    <w:name w:val="ConsPlusNormal"/>
    <w:rsid w:val="008E08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E08BD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10D"/>
    <w:rPr>
      <w:rFonts w:ascii="Calibri" w:eastAsia="Calibri" w:hAnsi="Calibri" w:cs="Times New Roman"/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43610D"/>
  </w:style>
  <w:style w:type="paragraph" w:styleId="a8">
    <w:name w:val="header"/>
    <w:basedOn w:val="a"/>
    <w:link w:val="a9"/>
    <w:uiPriority w:val="99"/>
    <w:unhideWhenUsed/>
    <w:rsid w:val="0043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610D"/>
    <w:rPr>
      <w:rFonts w:ascii="Calibri" w:eastAsia="Calibri" w:hAnsi="Calibri" w:cs="Times New Roman"/>
      <w:sz w:val="22"/>
      <w:szCs w:val="22"/>
    </w:rPr>
  </w:style>
  <w:style w:type="character" w:customStyle="1" w:styleId="s0">
    <w:name w:val="s0"/>
    <w:basedOn w:val="a0"/>
    <w:rsid w:val="00783753"/>
  </w:style>
  <w:style w:type="character" w:customStyle="1" w:styleId="s2">
    <w:name w:val="s2"/>
    <w:basedOn w:val="a0"/>
    <w:rsid w:val="00783753"/>
  </w:style>
  <w:style w:type="character" w:styleId="aa">
    <w:name w:val="Hyperlink"/>
    <w:basedOn w:val="a0"/>
    <w:uiPriority w:val="99"/>
    <w:semiHidden/>
    <w:unhideWhenUsed/>
    <w:rsid w:val="0078375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3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82598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Sayat Zholshy &amp; Partners</dc:creator>
  <cp:lastModifiedBy>User</cp:lastModifiedBy>
  <cp:revision>6</cp:revision>
  <cp:lastPrinted>2019-04-08T12:38:00Z</cp:lastPrinted>
  <dcterms:created xsi:type="dcterms:W3CDTF">2019-04-08T09:34:00Z</dcterms:created>
  <dcterms:modified xsi:type="dcterms:W3CDTF">2019-04-09T08:40:00Z</dcterms:modified>
</cp:coreProperties>
</file>